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FI.2012.0026 vom 6. September 2012</w:t>
      </w:r>
    </w:p>
    <w:p>
      <w:r>
        <w:t>VD Tribunal cantonal, 2012-09-06, FR</w:t>
      </w:r>
    </w:p>
    <w:p>
      <w:r>
        <w:rPr>
          <w:b/>
        </w:rPr>
        <w:t xml:space="preserve">Quelle: </w:t>
      </w:r>
      <w:r>
        <w:t>https://mcp.opencaselaw.ch/entscheid/vd_omni_FI.2012.0026</w:t>
      </w:r>
    </w:p>
    <w:p>
      <w:r>
        <w:t>FR: VD_OMNI FI.2012.0026 du 6 septembre 2012</w:t>
      </w:r>
    </w:p>
    <w:p>
      <w:r>
        <w:t>IT: VD_OMNI FI.2012.0026 del 6 settembre 2012</w:t>
      </w:r>
    </w:p>
    <w:p>
      <w:pPr>
        <w:pStyle w:val="Heading2"/>
      </w:pPr>
      <w:r>
        <w:t>Regeste</w:t>
      </w:r>
    </w:p>
    <w:p>
      <w:r>
        <w:t>A. X.________ et B. X.________ c/Administration cantonale des impôts, Ville de Lausanne, MUNICIPALITE D'EVOLENE, Service cantonal valaisan des contributions | Le centre des intérêts vitaux de deux contribuables mariés, salariés et travaillant chacun à Lausanne cinq jours sur sept, se situe dans cette localité, où ils louent un appartement, et non dans le Val d'Hérens où ils possèdent un chalet qu'ils rejoignent chaque fin de semaine. L'autorité était dès lors fondée à présumer qu'ils se sont créés un domicile, déterminant au plan fiscal, à Lausanne et dans le canton à compter du 1er janvier 2011.</w:t>
      </w:r>
    </w:p>
    <w:p>
      <w:pPr>
        <w:pStyle w:val="Heading2"/>
      </w:pPr>
      <w:r>
        <w:t>Erwägungen</w:t>
      </w:r>
    </w:p>
    <w:p>
      <w:r>
        <w:rPr>
          <w:b/>
        </w:rPr>
        <w:t>E. 1</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b) Le litige a exclusivement trait dans le cas d'espèce à la fixation par l'ACI du domicile fiscal des recourants à Lausanne et dans le canton de Vaud à compter de l’année fiscale 2011; les recourants soutiennent en effet que leur domicile principal se situe sur la Commune d’Evolène et, partant, qu’ils sont assujettis de façon illimitée dans le canton du Valais.</w:t>
      </w:r>
    </w:p>
    <w:p>
      <w:r>
        <w:rPr>
          <w:b/>
        </w:rPr>
        <w:t>E. 2</w:t>
      </w:r>
    </w:p>
    <w:p>
      <w:r>
        <w:t>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w:t>
      </w:r>
    </w:p>
    <w:p>
      <w:r>
        <w:rPr>
          <w:b/>
        </w:rPr>
        <w:t>E. 3</w:t>
      </w:r>
    </w:p>
    <w:p>
      <w:r>
        <w:t>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Jean-A. Robert Rivier, L'assujettissement à l'impôt des personnes physiques, in Archives de droit fiscal 61, p. 283 et ss, not. 284; Ernst Höhn/Peter Mäusli, Interkantonales Steuerrecht, 4 ème éd. Berne/Stuttgart/Vienne 2000, § 7, Nr.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édition, Zurich 1995, p. 84; Henri Deschenaux/Paul-Henri Steinauer, Personnes physiques et tutelles, 4 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 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Deschenaux/Paul-Henri Steinauer/Margareta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Ryser/Bernard Rolli, Précis de droit fiscal suisse, 4 ème éd., Berne 2001, p. 26).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Jean-A. Robert Rivier, Droit fiscal suisse, L'imposition du revenu et de la fortune, 2 ème éd., Lausanne 1998, p. 312; Archives de droit fiscal 41, p. 136 et ss, not. 141;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132 I 29 consid. 4.2 p. 36;125 I 54 consid. 2b/aa p. 56/57; 125 I 458 consid. 2d p. 467 s.; 121 I 14 consid.</w:t>
      </w:r>
    </w:p>
    <w:p>
      <w:r>
        <w:rPr>
          <w:b/>
        </w:rPr>
        <w:t>E. 4</w:t>
      </w:r>
    </w:p>
    <w:p>
      <w:r>
        <w:t>Il suit de ce qui précède que le recours ne peut qu’être rejeté et la décision attaquée, confirmée. Les recourants succombant, un émolument judiciaire sera mis à leur charge (cf. art. 49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