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FI.2012.0007 vom 30. August 2012</w:t>
      </w:r>
    </w:p>
    <w:p>
      <w:r>
        <w:t>VD Tribunal cantonal, 2012-08-30, FR</w:t>
      </w:r>
    </w:p>
    <w:p>
      <w:r>
        <w:rPr>
          <w:b/>
        </w:rPr>
        <w:t xml:space="preserve">Quelle: </w:t>
      </w:r>
      <w:r>
        <w:t>https://mcp.opencaselaw.ch/entscheid/vd_omni_FI.2012.0007</w:t>
      </w:r>
    </w:p>
    <w:p>
      <w:r>
        <w:t>FR: VD_OMNI FI.2012.0007 du 30 août 2012</w:t>
      </w:r>
    </w:p>
    <w:p>
      <w:r>
        <w:t>IT: VD_OMNI FI.2012.0007 del 30 agosto 2012</w:t>
      </w:r>
    </w:p>
    <w:p>
      <w:pPr>
        <w:pStyle w:val="Heading2"/>
      </w:pPr>
      <w:r>
        <w:t>Regeste</w:t>
      </w:r>
    </w:p>
    <w:p>
      <w:r>
        <w:t>A. X.________ c/Administration cantonale des impôts, Service cantonal valaisan des contributions, Municipalité de Savièse, COMMUNE DU MONT-SUR-LAUSANNE | Contribuable, âgé de 51 ans et séparé de son épouse, qui occupe un emploi à plein temps au Mont-sur-Lausanne. Détermination du domicile fiscal. Le lieu d'où le recourant se rend quotidiennement à son travail et où il vit en semaine est prépondérant. Le fait qu'il passe ses week-end et ses vacances en Valais dans la maison dont il est copropriétaire avec sa soeur, qu'il s'occupe sur place de sa mère et qu'il y reçoit une grande partie de son courrier ne suffisent pas à renverser la présomption en faveur du canton de Vaud. Recours rejeté. Recours au Tribunal fédéral rejeté dans la mesure où il est recevable (ATF 2C_972/2012 du 1er avril 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fixation du domicile fiscal du recourant à compter du 1 er janvier 2011.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pp. 222 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Enfin, l'autorité fiscale et la cour de céans ne sont pas liées par une décision du juge civil fixant le domicile des parties, notamment dans le cadre de difficultés conjugales (dans le même sens, en matière de déduction de pensions alimentaires, cf. arrêt FI.2008.0100).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d'où il se rend quotidiennement à son travail (arrêts FI.2009.0074 du 20 décembre 2010 consid. consid.2c; FI.2009.0072 du 22 septembre 2009, consid. 3c; FI.2007.0160 du 29 octobre 2008 consid. 3;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w:t>
      </w:r>
    </w:p>
    <w:p>
      <w:r>
        <w:rPr>
          <w:b/>
        </w:rPr>
        <w:t>E. 3</w:t>
      </w:r>
    </w:p>
    <w:p>
      <w:r>
        <w:t>En définitive, le recours doit être rejeté et la décision attaquée, confirmée. Le recourant, qui succombe, supportera les frais de justice. Le recourant n'a pas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