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FI.2011.0071 vom 26. Januar 2012</w:t>
      </w:r>
    </w:p>
    <w:p>
      <w:r>
        <w:t>VD Tribunal cantonal, 2012-01-26, FR</w:t>
      </w:r>
    </w:p>
    <w:p>
      <w:r>
        <w:rPr>
          <w:b/>
        </w:rPr>
        <w:t xml:space="preserve">Quelle: </w:t>
      </w:r>
      <w:r>
        <w:t>https://mcp.opencaselaw.ch/entscheid/vd_omni_FI.2011.0071</w:t>
      </w:r>
    </w:p>
    <w:p>
      <w:r>
        <w:t>FR: VD_OMNI FI.2011.0071 du 26 janvier 2012</w:t>
      </w:r>
    </w:p>
    <w:p>
      <w:r>
        <w:t>IT: VD_OMNI FI.2011.0071 del 26 gennaio 2012</w:t>
      </w:r>
    </w:p>
    <w:p>
      <w:pPr>
        <w:pStyle w:val="Heading2"/>
      </w:pPr>
      <w:r>
        <w:t>Regeste</w:t>
      </w:r>
    </w:p>
    <w:p>
      <w:r>
        <w:t>X.________ c/Administration cantonale des impôts, Administration fédérale des contributions | Lorsque l'office d'impôt, saisi d'une réclamation formée par le contribuable, arrête à nouveau les éléments imposables, sa décision n'est pas directement attaquable devant le Tribunal cantonal; si le contribuable maintient son opposition, celle-ci est transmise à l'Administration cantonale des impôts qui statue. Sa décision peut faire l'objet d'un recours au Tribunal cantonal.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L’Office d’impôt est l’autorité de taxation des personnes physiques (art. 152 al. 1 let. a de la loi du 4 juillet 2000 sur les impôts directs cantonaux – LI, RSV 642.11). Les décisions qu’il rend peuvent faire l’objet d’une réclamation (art. 185 LI). Celle-ci est  adressée à l’autorité de taxation (art. 186 al. 1 LI), laquelle détermine à nouveau les éléments imposables (art. 186 al. 1 LI). Lorsqu’elle ne peut liquider le cas - notamment lorsque le contribuable n’accepte pas les éléments imposables - l’autorité de taxation transmet le dossier, avec son rapport, à l’ACI (art. 187 al. 3 LI). Celle-ci tranche la réclamation (art. 187 LI). Sa décision est attaquable devant le Tribunal cantonal (art. 199 LI, mis en relation avec les art. 5 et 92 al. 1 LPA-VD). b) En l’occurrence, l’Office d’impôt a, le 8 novembre 2011, déterminé à nouveau les éléments imposables, sur la base de la réclamation formée le 20 juin 2011 par la recourante contre la décision de taxation du 7 juin 2011. Il appartenait dès lors à la recourante soit d’accepter cette détermination, auquel cas sa réclamation perdait son objet, soit de s’y opposer, auquel cas l’Office d’impôt aurait transmis l’affaire à l’ACI comme objet de sa compétence (cf. art. 187 al. 3 LI). Plutôt que de choisir entre les deux options à sa disposition, la recourante a saisi directement le Tribunal cantonal d’un recours contre la décision de l’Office d’impôt. En agissant de la sorte, elle a omis d’épuiser la voie de la réclamation, qui constitue le préalable obligé au recours. Celui-ci est dès lors prématuré, partant irrecevable. Pour le surplus, on ne se trouve pas dans le cas de l’art. 186 al. 4 LI, à teneur duquel la réclamation déposée contre une décision de taxation déjà motivée peut être considérée comme un recours et transmise au Tribunal cantonal, si le contribuable et l’ACI y consentent, déjà pour le motif que l’ACI ne s’est pas prononcée à ce sujet.</w:t>
      </w:r>
    </w:p>
    <w:p>
      <w:r>
        <w:rPr>
          <w:b/>
        </w:rPr>
        <w:t>E. 2</w:t>
      </w:r>
    </w:p>
    <w:p>
      <w:r>
        <w:t>Le recours est dès lors irrecevable. Il est transmis à l’ACI comme objet de sa compétence. Il se justifie de statuer sans frais; l’allocation de dépens en faveur de la recourante n’entre pas en ligne de compte (art. 49 et 55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