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FI.2011.0049 vom 12. Dezember 2011</w:t>
      </w:r>
    </w:p>
    <w:p>
      <w:r>
        <w:t>VD Tribunal cantonal, 2011-12-12, FR</w:t>
      </w:r>
    </w:p>
    <w:p>
      <w:r>
        <w:rPr>
          <w:b/>
        </w:rPr>
        <w:t xml:space="preserve">Quelle: </w:t>
      </w:r>
      <w:r>
        <w:t>https://mcp.opencaselaw.ch/entscheid/vd_omni_FI.2011.0049</w:t>
      </w:r>
    </w:p>
    <w:p>
      <w:r>
        <w:t>FR: VD_OMNI FI.2011.0049 du 12 décembre 2011</w:t>
      </w:r>
    </w:p>
    <w:p>
      <w:r>
        <w:t>IT: VD_OMNI FI.2011.0049 del 12 dicembre 2011</w:t>
      </w:r>
    </w:p>
    <w:p>
      <w:pPr>
        <w:pStyle w:val="Heading2"/>
      </w:pPr>
      <w:r>
        <w:t>Regeste</w:t>
      </w:r>
    </w:p>
    <w:p>
      <w:r>
        <w:t>X._________ c/Administration cantonale des impôts, Administration fédérale des contributions | Les conditions permettant à l'autorité fiscale d'exiger des sûretés pour le recouvrement de sa créance sont réalisées. Bien que le contribuable et l'ACI soient divisés sur l'inclusion dans le revenu et la fortune du contribuable du bénéfice provenant de la vente de son fonds de commerce, l'existence de la créance du fisc est vraisemblable. Durant toute la procédure de taxation, le contribuable a refusé de collaborer; il a acquis pour 500'000 fr. d'actions d'une société off-shore, indice caractérisé d'une évasion fiscale, ce qu'il a dissimulé aux autorités durant toute la procédure de taxation et de réclamation. Le recouvrement de la créance du fisc apparaît comme sérieusement compromis au regard de l'ensemble des circonstances considérées objectivement.</w:t>
      </w:r>
    </w:p>
    <w:p>
      <w:pPr>
        <w:pStyle w:val="Heading2"/>
      </w:pPr>
      <w:r>
        <w:t>Erwägungen</w:t>
      </w:r>
    </w:p>
    <w:p>
      <w:r>
        <w:rPr>
          <w:b/>
        </w:rPr>
        <w:t>E. 1</w:t>
      </w:r>
    </w:p>
    <w:p>
      <w:r>
        <w:t>Le recourant a requis la tenue d’une audience; il demande en outre à ce que le Tribunal procède à l’audition des taxateurs, ainsi que de ses représentants durant la procédure de taxation.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le recourant et s’en tiendra à une procédure exclusivement écrite. Il s’agit d’examiner si les conditions autorisant l’autorité fiscale à prétendre à l’octroi de sûretés destinées à garantir le recouvrement de sa créance sont réalisées. Or, tels qu’ils ressortent du dossier, les faits permettent déjà de résoudre cette question, comme on le verra ci-dessous. Au surplus, les questions soulevées par le recours relèvent de l’ordre juridique, que le tribunal examine avec un plein pouvoir d’examen (art. 76 LPA-VD). Dès lors, par appréciation anticipée des preuves, le tribunal s’estime en mesure de statuer en connaissance de cause, en se dispensant de l’audience et des auditions réclamées par le recourant.</w:t>
      </w:r>
    </w:p>
    <w:p>
      <w:r>
        <w:rPr>
          <w:b/>
        </w:rPr>
        <w:t>E. 2</w:t>
      </w:r>
    </w:p>
    <w:p>
      <w:r>
        <w:t>a)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de la loi fédérale du 14 décembre 1990 sur l’impôt fédéral direct – LIFD; RS 642.11 – 233 al. 1 de la loi du 4 juillet 2000 sur les impôts directs cantonaux – LI; RSV 642.11 – et 78 de la loi fédérale du 14 décembre 1990 sur l’harmonisation des impôts directs des cantons et des communes – LHID, RS 642.14). Les sûretés sont exigibles notamment pour le recouvrement des impôts directs, ainsi que des amendes procédurales (ATF 2A.462/2006 du 17 août 2006, consid. 2.3; Pierre Curchod, nos 2 et 3 ad art. 169 LIFD, in: Danielle Yersin/Yves Noël (ed.), Commentaire LIFD, Bâle 2008). La demande de sûretés présente les traits d’une mesure provisionnelle de droit public, qu’elle règle une situation de façon temporaire dans l’attente d’une décision définitive ultérieure, ou qu’elle intervienne une fois la taxation entrée en force (ATF 134 II 349 consid. 1.2 p. 350/351, et les références citées). b) L’autorité fiscale peut requérir des sûretés lorsque que l’existence de la créance fiscale est vraisemblable, le recouvrement de celle-ci compromis et le montant de la garantie proportionné à la créance (consid. 5 non publié de l’ATF 134 II 349). Pour que celle-ci paraisse menacée, des actes du débiteur ayant pour effet de le soustraire à une éventuelle exécution forcée ne sont pas indispensables; il suffit que le recouvrement soit compromis au regard de l’ensemble des circonstances considérées objectivement (ATF 2A.611/2006 du 18 avril 2007, consid. 4.1, et les références citées). Une preuve stricte n’est pas nécessaire à cet égard; le danger redouté par le fisc doit être simplement vraisemblable (ATF 2A.446/2006 du 9 mars 2007, consid. 5.2.1). Tel est le cas notamment lorsque le contribuable aménage son activité de manière à pouvoir se soustraire au fisc en transférant des biens à l’étranger (ATF 108 Ib 44 consid. 3 p. 50-52), qu’il dissimule systématiquement les éléments de son revenu et de sa fortune à l’autorité de taxation (ATF 2A.611/2006, précité, consid. 4.1, et les arrêts cités) ou qu’il transforme des biens immobiliers en liquidités, facilement réalisables et transférables (ATF 2A.611/2006, précité, consid. 4.1, et les arrêts cités). Il convient également de tenir compte de l’attitude générale du contribuable pendant la procédure de taxation, notamment de la manière dont il a répondu aux demandes de renseignements sur sa situation financière (ATF 2A.611/2006, précité, consid. 4.1; 2A.237/2006 du 9 janvier 2007, consid. 2.2, et les arrêts cités), ou s’il a entravé la procédure de taxation (ATF 2A.237/2006 du 9 janvier 2007, consid. 3.3).</w:t>
      </w:r>
    </w:p>
    <w:p>
      <w:r>
        <w:rPr>
          <w:b/>
        </w:rPr>
        <w:t>E. 3</w:t>
      </w:r>
    </w:p>
    <w:p>
      <w:r>
        <w:t>a) En l’occurrence, la créance du fisc pour l’année 2008 porte sur des montants de 467'328 fr.90 s’agissant de l’impôt cantonal et communal, respectivement 179'353 fr.25 s’agissant de l’impôt fédéral direct. Cette créance n’a pas encore été définitivement établie, la réclamation du recourant n’ayant pas encore été traitée. S’agissant des éléments de revenu, les parties sont divisées sur l’inclusion du bénéfice provenant de la vente des parts de X.________ Sàrl, d’une part, et de la raison individuelle du recourant, d’autre part. Le recourant considère en effet l’opération comme purement privée, donc échappant à l’impôt, à l’inverse de l’autorité de taxation qui a ajouté cet élément au revenu et à la fortune déclarés par le recourant. Il n’en demeure pas moins que l’existence de cette créance est vraisemblable. b) Durant toute la procédure de taxation, le recourant a refusé de collaborer. Sans doute, il a produit à l’appui de sa déclaration 2008 l’extrait de son compte BCV, du 1 er novembre 2008, à teneur duquel un montant de 500'000 fr. a été débité le 15 octobre 2008. Sans doute, c’est à partir de cette pièce que l’autorité de taxation, puis l’autorité intimée, ont pu requérir des renseignements dans le but d’apprécier le plus exactement possible la situation financière du recourant. Celui-ci a cependant dissimulé aux autorités la contrepartie de ce versement et, malgré plusieurs demandes, n’a jamais obtempéré aux demandes de l’autorité quant à la preuve de la destination du montant de 500'000 fr. C’est seulement en juillet 2011, après avoir fait l’objet d’une requête de séquestre de la part du fisc, qu’il a expliqué avoir acquis en contrepartie des actions de A.________ SA, domiciliée aux Iles Vierges. Or, l’acquisition d’actions pour un montant de 500'000 fr. d’une société off-shore est un indice caractérisé d’évasion fiscale. A cela s’ajoute que de 2003 à 2007, alors que le recourant était à la tête de X.________ Sàrl, celle-ci a été taxée d’office et des amendes lui ont été notifiées. De même, le recourant a lui-même été taxé d’office en 2003 et en 2004 pour n’avoir pas fourni les pièces requises par l’autorité de taxation. c) A cela s’ajoute que le recouvrement de la créance du fisc apparaît comme sérieusement compromis au regard de l’ensemble des circonstances considérées objectivement, dès lors que le montant litigieux a servi à l’acquisition de biens à l’étranger (qui plus est, dans un paradis fiscal). Le recourant, âgé de cinquante-cinq ans, semble s’être retiré des affaires. Certes, il est de nationalité italienne, mais l’autorité intimée n’allègue pas qu’il ait manifesté l’intention de s’établir à l’étranger, à l’inverse des contribuables dans l’état de fait jugé par le Tribunal dans l’arrêt FI.2010.0019 du 7 juin 2010. Il est en revanche à craindre, surtout si le recourant échoue définitivement à établir le caractère privé du transfert des parts de la Sàrl, que la somme de 500'000 fr., convertie en actions d’une société des Iles Vierges, ne puisse être récupérée par le fisc, voire soit transférée ultérieurement dans un autre paradis fiscal. d) Au surplus, la demande de sûretés s’avère conforme au principe de la proportionnalité puisqu’elle porte sur les montants d’impôt cantonal et communal et d’impôt fédéral direct pour l’année 2008, lesquels font suite aux décisions de taxation du 3 décembre 2010. Sans doute, une réclamation a été interjetée et l’on ignore à ce jour dans quel délai l’autorité intimée statuera sur la réclamation. Il pourrait s’avérer contraire au principe de proportionnalité d’exiger du recourant qu’il fournisse des sûretés pour une créance qui, pour autant qu’elle soit établie, ne le serait pas avant plusieurs années. Aussi, le recourant conserve la faculté de requérir la levée des sûretés pour le cas où l’autorité intimée tarderait à statuer sur la réclamation.</w:t>
      </w:r>
    </w:p>
    <w:p>
      <w:r>
        <w:rPr>
          <w:b/>
        </w:rPr>
        <w:t>E. 4</w:t>
      </w:r>
    </w:p>
    <w:p>
      <w:r>
        <w:t>Les considérants qui précèdent conduisent au rejet du recours et à la confirmation des demandes de sûretés. Les frais sont mis à la charge du recourant; il n’y a pas lieu d’allouer des dépens (art. 49, 52 al. 2, 55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