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FI.2011.0022 vom 27. Januar 2012</w:t>
      </w:r>
    </w:p>
    <w:p>
      <w:r>
        <w:t>VD Tribunal cantonal, 2012-01-27, FR</w:t>
      </w:r>
    </w:p>
    <w:p>
      <w:r>
        <w:rPr>
          <w:b/>
        </w:rPr>
        <w:t xml:space="preserve">Quelle: </w:t>
      </w:r>
      <w:r>
        <w:t>https://mcp.opencaselaw.ch/entscheid/vd_omni_FI.2011.0022</w:t>
      </w:r>
    </w:p>
    <w:p>
      <w:r>
        <w:t>FR: VD_OMNI FI.2011.0022 du 27 janvier 2012</w:t>
      </w:r>
    </w:p>
    <w:p>
      <w:r>
        <w:t>IT: VD_OMNI FI.2011.0022 del 27 gennaio 2012</w:t>
      </w:r>
    </w:p>
    <w:p>
      <w:pPr>
        <w:pStyle w:val="Heading2"/>
      </w:pPr>
      <w:r>
        <w:t>Regeste</w:t>
      </w:r>
    </w:p>
    <w:p>
      <w:r>
        <w:t>X.________ c/Administration cantonale des impôts | Reprise par une fondation des actifs et passifs d'une société immobilière qu'elle détient (société fille). Requête de la fondation tendant au traitement du transfert de patrimoine en neutralité fiscale. Refus de l'ACI, le transfert des immeubles étant soumis au droit de mutation, à leur valeur vénale. Recours auprès de la CDAP rejeté aux motifs que la reprise de biens n'entre pas dans la catégorie des fusions privilégiées fiscalement dès lors que la fondation est exonérée d'impôt et qu'une exonération du droit de mutation ne peut pas intervenir au sens de l'art. 97 al. 3 LI, qui la réserve aux transferts de participations entre sociétés de capitaux et sociétés coopératives suisses. Pour le surplus, l'art. 6 LMSD prévoit la prise en compte de la valeur vénale (et non pas fiscale) des immeubles. Cet arrêt a été annulé par le TF le 23.11.12, la recourante étant éxonérée du droit de mutation (réf. 2C_199/2012).</w:t>
      </w:r>
    </w:p>
    <w:p>
      <w:pPr>
        <w:pStyle w:val="Heading2"/>
      </w:pPr>
      <w:r>
        <w:t>Erwägungen</w:t>
      </w:r>
    </w:p>
    <w:p>
      <w:r>
        <w:rPr>
          <w:b/>
        </w:rPr>
        <w:t>E. 1</w:t>
      </w:r>
    </w:p>
    <w:p>
      <w:r>
        <w:t>Le litige porte sur l’imposition des droits de mutation concernant le transfert d’immeubles d’une société immobilière (société fille) à une Fondation (société mère) dans le cadre d’un transfert de patrimoine. La question se pose de savoir si l’opération bénéficie de l’exonération des droits de mutation prévue par la LFus et la LMSD.</w:t>
      </w:r>
    </w:p>
    <w:p>
      <w:r>
        <w:rPr>
          <w:b/>
        </w:rPr>
        <w:t>E. 2.1</w:t>
      </w:r>
    </w:p>
    <w:p>
      <w:r>
        <w:t>En droit fédéral, l’art. 103 LFus, entré en vigueur le 1 er janvier 2009, prévoit ce qui suit : La perception de droits de mutation cantonaux ou communaux est exclue en cas de restructuration au sens des art. 8, al. 3, et 24, al. 3 et 3quater, de la loi fédérale du 14 décembre 1990 sur l’harmonisation des impôts directs des cantons et des communes. Les émoluments couvrant les frais occasionnés sont réservés. . L’art. 24 al. 3 et 3 quater LHID, auquel se réfère l’art. 103 LFus et qui concerne les personnes morales, seules impliquées en l’espèce, prévoit ce qui suit : ….</w:t>
      </w:r>
    </w:p>
    <w:p>
      <w:r>
        <w:rPr>
          <w:b/>
        </w:rPr>
        <w:t>E. 2.2</w:t>
      </w:r>
    </w:p>
    <w:p>
      <w:r>
        <w:t>En préalable, concernant l’interprétation de l’art. 97 al. 1 et 3 LI, le Tribunal relève que, selon la jurisprudence du Tribunal fédéral (ATF du 26 octobre 2004, RDAF 2005 II 123, consid. 7.2), lorsqu'un canton reprend sans précision spécifique les dispositions de la loi sur l'harmonisation fiscale, il est dans l'intérêt de la transparence et de la simplification du droit fiscal suisse qu'il fasse siennes, dans la mesure la plus large possible, les solutions adoptées par la Confédération relativement à l'impôt fédéral direct. Par conséquent, lorsqu'un canton a adopté dans sa loi fiscale des formulations semblables ou similaires à celles existant en droit fédéral, il y a lieu de considérer qu'il a voulu adapter sa réglementation à ce dernier et non pas adopter des règles juridiques différentes et en contradiction avec l'harmonisation fiscale ( Reich , op. cit., No 41 ad art. 1 LHID ). C’est très exactement ce qu’a fait, en l’espèce, le législateur cantonal pour 97 al. 1 et 3 LI. Il s’ensuit que l’art. 97 al. 1 et 3 LHID doit être interprété à la lumière du droit fédéral (impôt fédéral direct).</w:t>
      </w:r>
    </w:p>
    <w:p>
      <w:r>
        <w:rPr>
          <w:b/>
        </w:rPr>
        <w:t>E. 3</w:t>
      </w:r>
    </w:p>
    <w:p>
      <w:r>
        <w:t>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 a. en cas de transformation en une société de personnes ou en une autre personne morale; b. en cas de division ou séparation d’une personne morale à condition que ce transfert ait pour objet une ou plusieurs exploitations ou parties distinctes d’exploitation et pour autant que les personnes morales existantes après la scission poursuivent une exploitation ou partie distincte d’exploitation; c. en cas d’échange de droits de participation ou de droits de sociétariat suite à une restructuration ou à une concentration équivalant économiquement à une fusion; d. en cas de transfert à une société fille suisse d’exploitations ou de parties distinctes d’exploitations ainsi que d’éléments qui font partie des biens immobilisés de l’exploitation; on entend par société fille une société de capitaux ou une société coopérative dont la société de capitaux ou la société coopérative qui la transfère possède au moins 20 % du capital-actions ou du capital social. …. 3quater Des participations directes ou indirectes de 20% au moins du capital-actions ou du capital social d'une autre société de capitaux ou d'une société coopérative, mais aussi des exploitations ou des parties distinctes d'exploitation ainsi que des éléments qui font partie des biens immobilisés de l'exploitation, peuvent être transférées, à leur dernière valeur déterminante pour l'impôt sur le bénéfice, entre des sociétés de capitaux ou des sociétés coopératives suisses, qui, à la lumière des circonstances et du cas d'espèce et grâce à la détention de la majorité des voix ou d'une autre manière, sont réunies sous la direction unique d'une société de capitaux ou d'une société coopérative. Sont réservés : a. le transfert à une société fille selon l'art. 24 al. 3 let. d b. le transfert d'éléments qui font partie des biens immobilisés de l'exploitation à une société qui est imposée selon l’art. 28 al. 2 à 4. Suite à l’introduction de la LFus, l’art. 3 LMSD a été modifié le 17 décembre 2008 (entrée en vigueur le 1 er juillet 2009) pour être adapté au droit  fédéral. Il prévoit, dans sa nouvelle version, que le droit de mutation n'est pas perçu pour: "Les transferts d'immeubles lors de restructurations au sens des articles 22 et 97, alinéas 1 et 3 de la loi du 4 juillet 2000 sur les impôts directs cantonaux." L’art. 97 al. 1 et 3 LI auquel se réfère l’art. 3 let. i LMSD et qui concerne les personnes morales reprend textuellement l’art. 24 al. 3 et 3 quater LHID et définit aux mêmes conditions les cas dans lesquels la restructuration s’effectue en neutralité fiscale. Il correspond aussi à l’art. 61 al. 1 et 3 LIFD.</w:t>
      </w:r>
    </w:p>
    <w:p>
      <w:r>
        <w:rPr>
          <w:b/>
        </w:rPr>
        <w:t>E. 3.1</w:t>
      </w:r>
    </w:p>
    <w:p>
      <w:r>
        <w:t>Les art. 103 LFus et  3 LMSD limitent expressément et clairement l’exonération des droits de mutation aux restructurations au sens des art. 24 al. 3 et 3 quater LHID et 97 al. 1 et 3 LI . Selon une interprétation littérale du texte légal, seules les restructurations au sens de ces dispositions peuvent échapper aux droits de mutation. Il y a donc lieu d’examiner si, en l’espèce, le transfert litigieux constitue une restructuration au sens respectivement des art. 24 al. 3 LHID et 97 al. 1 LI ou des art. 24 al. 3 quater LHID et 97 al. 3 LI (cf. infra chiffre 4).</w:t>
      </w:r>
    </w:p>
    <w:p>
      <w:r>
        <w:rPr>
          <w:b/>
        </w:rPr>
        <w:t>E. 3.2</w:t>
      </w:r>
    </w:p>
    <w:p>
      <w:r>
        <w:t>Il convient tout d’abord de déterminer si le transfert de patrimoine constitue une restructuration au sens des dispositions topiques (art. 24 al. 3 et 3 quater LHID et 97 al. 1 et 3 LI). S’agissant  d’un simple instrument pouvant être utilisé pour atteindre différents objectifs économiques, le transfert de patrimoine ne peut être assimilé d’une manière générale à une fusion, une scission ou encore une transformation (Yersin/Noël, Commentaire romand LIFD, ad art. 61, n. 16 et op.cit.; Message, LFus, 2000 3995, 4026). Si le transfert de patrimoine peut effectivement être utilisé pour procéder à une restructuration lorsque le droit civil ne propose aucun instrument de droit des sociétés, il peut également être un moyen adéquat pour vendre les biens d’une entreprise à un tiers ou pour distribuer les actifs d’une société aux actionnaires sous forme de dividendes en nature. Or, il est parfois difficile de délimiter dans quel cadre le transfert de patrimoine est utilisé. Les restructurations qui s’appuient sur un transfert de patrimoine peuvent par conséquent être effectuées sans conséquences fiscales, pour autant que le procédé soit analogue à une fusion, une scission ou une transformation, par exemple, le transfert d’une exploitation à une filiale (scission horizontale), la concentration ou la scission de fondations, la reprise d’une société coopérative par une fondation ou encore la transformation d’une société de capitaux en entreprise de personnes. L’institution du transfert de patrimoine au sens des art. 69 ss LFus ne représente pas en soi une forme particulière de restructuration sous l’angle fiscal. Il s’agit au contraire d’un instrument de droit civil, d’une clause générale au sens fonctionnel, permettant d’effectuer plusieurs types de restructurations qualifiées spécifiquement par les fiscalistes. L’utilisation du transfert de patrimoine n’est ainsi pas nécessaire pour opérer une restructuration en neutralité fiscale et, inversement, n’entraîne pas ipso facto l’application de l’art. 61 LIFD. L’introduction de la loi sur la fusion n’a pas pour effet de créer un parallélisme entre le droit civil et le droit fiscal. Il n’est toutefois pas nécessaire d’examiner plus avant si le transfert constitue en l’espèce une restructuration  au sens du droit fiscal, vu l’issue donnée au recours selon les considérant suivants.</w:t>
      </w:r>
    </w:p>
    <w:p>
      <w:r>
        <w:rPr>
          <w:b/>
        </w:rPr>
        <w:t>E. 3.3</w:t>
      </w:r>
    </w:p>
    <w:p>
      <w:r>
        <w:t>Quelle que soit la forme de restructuration, les deux conditions suivantes doivent être respectées pour permettre la neutralité fiscale, selon les art. 24 al. 3 LHID, 61 al. 1 LIFD et 97 al. 1 LI: (i) Reprise des éléments commerciaux à leur dernière valeur déterminante pour l’impôt sur le bénéfice : cette condition exige le transfert des biens à la valeur comptable. Une réévaluation comptable dans le cadre de la restructuration s’accompagne chez le sujet transférant d’une imposition des réserves latentes nouvellement comptabilisées. (ii) Maintien de l’assujettissement en Suisse : Cette condition de rattachement fiscal implique tout d’abord que les réserves latentes transférées restent géographiquement soumises à la souveraineté fiscale suisse afin qu’elles puissent, lors de leur réalisation, être imposées. Cette exigence du rattachement fiscal s’oppose également à la neutralité fiscale des restructurations entre entités suisses lorsqu’une des entités concernées est exonérée d’impôts. Elle interdit de ce fait le report de l’impôt lors du transfert de biens à des collectivités publiques comme la Confédération, les cantons ou les communes (Message LFus., FF 2000 2000, 3995, 4026 ; Locher, Kommentar zum DBG, ad art. 61, n. 19), de même qu’à des entités de droit privé bénéficiant d’une exonération d’impôt au sens de l’art. 56 LIFD (par exemple, transfert de biens à une institution de prévoyance exonérée ou à une fondation d’utilité publique) (Yersin/Noël, Commentaire romand LIFD, ad art. 61 LIFD, n. 14). Le Message du Conseil fédéral concernant la LFus (FF 2000, 3995, 4026) précise expressément que le but de la loi est d’assurer la neutralité fiscale de toutes les formes de restructuration prévues par la loi sur la fusion qui visent à adapter les structures existantes de l’entreprise à un nouvel environnement économique et aux nouveaux besoins de la société. Cette neutralité fiscale ne peut toutefois être garantie que si elle répond à deux conditions précitées essentielles imposées par le système fiscal suisse: – Les actifs et les passifs doivent être transférés à leur valeur déterminante pour l’impôt sur le revenu et pour l’impôt sur le bénéfice. – La société doit rester assujettie à l’impôt en Suisse. Par conséquent, la reprise des biens d’une société de capitaux ou d’une société coopérative par la Confédération, un canton ou une commune (art. 751 et 915 CO) n’entre pas dans la catégorie des fusions privilégiées fiscalement. En effet, ces collectivités étant exonérées d’impôt, il serait injustifié de ne pas prendre en compte les réserves latentes transférées dans le cadre de l’imposition. La situation est analogue pour les sociétés suisses qui sont absorbées au cours d’une fusion par une société domiciliée à l’étranger. Dans ce cas, on ne peut déroger à l’imposition des réserves latentes que si la société reprenante continue d’exploiter la société absorbée en tant qu’établissement stable en Suisse. En revanche, les fusions intercantonales ne posent aucun problème, car la LHID ne prévoit aucune clause d’établissement. Ces principes s’inscrivent dans une logique qui permet d’assurer l’imposition des réserves latentes et d’éviter que par simple transfert de biens à une institution exonérée d’impôt, on puisse soustraire l’imposition des réserves latentes d’une société</w:t>
      </w:r>
    </w:p>
    <w:p>
      <w:r>
        <w:rPr>
          <w:b/>
        </w:rPr>
        <w:t>E. 3.4</w:t>
      </w:r>
    </w:p>
    <w:p>
      <w:r>
        <w:t>En l’espèce, les immeubles ont été transférés à une fondation LPP qui bénéficie de l’exonération fiscale au sens de l’art. 90 let. e LI. En conséquence, la condition du maintien de l’assujettissement en Suisse n’est pas réalisée et l’opération litigieuse ne constitue pas une restructuration bénéficiant du report d’imposition, au sens des art. 97 al. 1 LI et 24 al. 3 LHID. En conséquence, selon le texte de loi et le Message de la LFus, le transfert de patriomoine ne peut en l’espèce bénéficier de l’exonération du droit de mutation selon les art. 103 LFus., 97 al. 1 LI et 24 al. 3 LHID. Il convient d’examiner encore si, comme le soutient la recourante, on se trouve dans un cas de restructuration prévue aux art. 24 al. 3 quater LHID et 97 al. 3 LI, ce qui, le cas échéant permettrait une exonération des droits de mutation.</w:t>
      </w:r>
    </w:p>
    <w:p>
      <w:r>
        <w:rPr>
          <w:b/>
        </w:rPr>
        <w:t>E. 4.1</w:t>
      </w:r>
    </w:p>
    <w:p>
      <w:r>
        <w:t>Selon l’art. 97 al. 3 LI des participations directes ou indirectes de 20% au moins du capital-actions ou du capital social d'une autre société de capitaux ou d'une société coopérative, mais aussi des exploitations ou des parties distinctes d'exploitation ainsi que des éléments qui font partie des biens immobilisés de l'exploitation, peuvent être transférées, à leur dernière valeur déterminante pour l'impôt sur le bénéfice, entre des sociétés de capitaux ou des sociétés coopératives suisses, qui, à la lumière des circonstances et du cas d'espèce et grâce à la détention de la majorité des voix ou d'une autre manière, sont réunies sous la direction unique d'une société de capitaux ou d'une société coopérative . Sont réservés a) le transfert à une société fille selon l’alinéa 1 let. d b) le transfert d’éléments qui font partie des biens immobilisés de l’exploitation à une société qui est imposée selon les art. 108 et 109. Cette disposition reprend l’art. 24 al. 3 quater LHID.</w:t>
      </w:r>
    </w:p>
    <w:p>
      <w:r>
        <w:rPr>
          <w:b/>
        </w:rPr>
        <w:t>E. 4.2</w:t>
      </w:r>
    </w:p>
    <w:p>
      <w:r>
        <w:t>Il ressort clairement des textes légaux que les art. 97 al. 3 LI et 24 al. 3 quater LHID ne s’appliquent qu’à des transferts de participations entre sociétés de capitaux et sociétés coopératives suisses. En l’espèce, le transfert litigieux s’est effectué entre une société immobilière et une fondation exonérée d’impôt et ne tombe donc pas sous le coup des art. 24 al. 3 quater LHID et 97 al. 3 LI. Une exonération du droit de mutation fondée sur une restructuration au sens de ces deux dispositions est donc, par définition, clairement exclue.</w:t>
      </w:r>
    </w:p>
    <w:p>
      <w:r>
        <w:rPr>
          <w:b/>
        </w:rPr>
        <w:t>E. 5</w:t>
      </w:r>
    </w:p>
    <w:p>
      <w:r>
        <w:t>Si la valeur de l'immeuble ou du droit n'est pas déterminée, ou si le prix convenu paraît inférieur à la valeur réelle, l'autorité de taxation l'apprécie sur la base des données qu'elle peut réunir.</w:t>
      </w:r>
    </w:p>
    <w:p>
      <w:r>
        <w:rPr>
          <w:b/>
        </w:rPr>
        <w:t>E. 5.1</w:t>
      </w:r>
    </w:p>
    <w:p>
      <w:r>
        <w:t>Le recourant conclut, à titre subsidiaire, qu’à supposer néanmoins, par pure hypothèse, que les conditions de neutralité des impôts directs soient applicables telles quelles à l’exonération des droits de mutation, la transaction s’est effectuée aux valeurs fiscales qui devraient être déterminantes.</w:t>
      </w:r>
    </w:p>
    <w:p>
      <w:r>
        <w:rPr>
          <w:b/>
        </w:rPr>
        <w:t>E. 5.2</w:t>
      </w:r>
    </w:p>
    <w:p>
      <w:r>
        <w:t>L’art. 6 LMSD qui détermine la base de calcul des droits de mutation prévoit ce qui suit : 1 Le droit de mutation se calcule sur la valeur de l'immeuble y compris les accessoires (art. 644 CCS) , ou sur celle du droit constitué, transféré ou éteint. 2 Les parties ont l'obligation d'indiquer dans l'acte le prix réellement convenu; celui-ci est présumé représenter la valeur de l'immeuble ou du droit. 2bis La création, le transfert ou l'extinction d'un droit de superficie est soumis au droit de mutation sur toutes les prestations convenues ; la redevance périodique capitalisée n'est cependant imposée que lors de la constitution du droit. 3 Les prestations accessoires mises à la charge de l'acquéreur s'ajoutent au prix d'achat, sauf si elles ont déjà donné lieu à la perception d'un droit de mutation. 4 Au cas où un immeuble est vendu en même temps que le commerce ou l'industrie qui y est exploité, le contrat de vente doit porter à la fois sur l'immeuble, le mobilier de l'entreprise et les valeurs immatérielles de celle-ci. L'ensemble de ces éléments est soumis au droit sans déduction.</w:t>
      </w:r>
    </w:p>
    <w:p>
      <w:r>
        <w:rPr>
          <w:b/>
        </w:rPr>
        <w:t>E. 6</w:t>
      </w:r>
    </w:p>
    <w:p>
      <w:r>
        <w:t>L'ensemble des considérants qui précèdent conduisent au rejet du recours et à la confirmation de la décision sur réclamation. Les frais sont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