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FI.2011.0003 vom 28. Oktober 2011</w:t>
      </w:r>
    </w:p>
    <w:p>
      <w:r>
        <w:t>VD Tribunal cantonal, 2011-10-28, FR</w:t>
      </w:r>
    </w:p>
    <w:p>
      <w:r>
        <w:rPr>
          <w:b/>
        </w:rPr>
        <w:t xml:space="preserve">Quelle: </w:t>
      </w:r>
      <w:r>
        <w:t>https://mcp.opencaselaw.ch/entscheid/vd_omni_FI.2011.0003</w:t>
      </w:r>
    </w:p>
    <w:p>
      <w:r>
        <w:t>FR: VD_OMNI FI.2011.0003 du 28 octobre 2011</w:t>
      </w:r>
    </w:p>
    <w:p>
      <w:r>
        <w:t>IT: VD_OMNI FI.2011.0003 del 28 ottobre 2011</w:t>
      </w:r>
    </w:p>
    <w:p>
      <w:pPr>
        <w:pStyle w:val="Heading2"/>
      </w:pPr>
      <w:r>
        <w:t>Regeste</w:t>
      </w:r>
    </w:p>
    <w:p>
      <w:r>
        <w:t>X.________ Sàrl/Administration cantonale des impôts, Administration fédérale des contributions | Litige limité au prononcé d'amendes (volet pénal du dossier FI.2010.0034). Conditions objectives et subjectives de la soustraction. En l'espèce, le bénéfice d'une promotion était dès son achèvement affecté systématiquement aux promotions suivantes, sans qu'aucune information ne figure dans les comptes. Cette manière de procéder apparaît propre à créer une certaine opacité dans la comptabilité tant que les promotions en cours ne sont pas toutes achevées. Ce défaut de comptabilisation relève de la soustraction intentionnelle. Le fait que les associés aient annoncé les bénéfices des promotions dans leurs déclarations de gains immobiliers ne modifie pas cette appréciation: s'agissant d'une société, seules sont décisives d'un point de vue fiscal les écritures ressortant des comptes. Faute qualifiée de moyenne, compte tenu des éléments de revenus soustraits (264'000 fr. sur deux périodes). Coefficient de 1 pour la soustraction intentionnelle et de 2/3 pour la tentative de soustraction.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présent arrêt complète celui rendu le 27 janvier 2011 sur les points laissés en suspens, à savoir les amendes infligées à la recourante pour soustraction fiscale en matière d'impôt fédéral direct et d'impôt cantonal et communal pour les périodes fiscales 2003 et 2004.</w:t>
      </w:r>
    </w:p>
    <w:p>
      <w:r>
        <w:rPr>
          <w:b/>
        </w:rPr>
        <w:t>E. 3</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2003 II 632; RDAF 2002 II 493; RDAF 1999 II 535; ATF 100 Ib 480).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c) En l'espèce, la recourante conteste la qualification de soustraction intentionnelle des reprises no 1.01/1.02 et 1.05, correspondant aux bénéfices non-comptabilisés des promotions de 2******** et de 1********. La recourante se prévaut des art. 64 LIFD et 101 LI relatifs au remploi, en expliquant que les bénéfices réalisés étaient entièrement réinvestis dans de nouvelles opérations immobilières. Dans son arrêt partiel du 27 janvier 2011, la CDAP a écarté cette argumentation. Il n'y a pas lieu de revenir sur ce point. De toute manière, même si les conditions du remploi avaient été réalisées, cela ne dispensait pas la société de faire figurer dans ses comptes les bénéfices réalisés, ce que les associés ne pouvaient ignorer: pour exclure toute intention de soustraction, la contribuable devait en effet comptabiliser les produits, quitte à constituer une "provision pour remploi" ou "pour risque de garantie". Or, le bénéfice d'une promotion dès son achèvement était systématiquement affecté aux promotions suivantes, sans qu'aucune information ne figure dans les comptes. Incontestablement, une telle manière de procéder apparaît propre à créer une certaine opacité dans la comptabilité tant que les promotions en cours ne sont pas toutes achevées. Ce défaut de comptabilisation relève précisément de la soustraction intentionnelle. Le fait que les associés aient annoncé les bénéfices des promotions de 2******** et de 1******** dans leurs déclarations de gains immobiliers ne modifie pas cette appréciation: en effet, l'autorité formelle du droit comptable déploie un effet contraignant pour le contribuable; seules sont décisives d'un point de vue fiscal les écritures ressortant des comptes (Robert Danon, in: Impôt fédéral direct, Commentaire de la loi sur l'impôt fédéral direct, édité par Danielle Yersin et Yves Noël, Bâle 2008, art. 57-58, N. 51; Peter Brülisauer/Flurin Poltera, in: Martin Zweifel/Peter Athanas (Hrsg.). Kommentar zum schweizerischen Steuerrecht, I/2a, Bundesgesetz über die direkte Bundessteuer (DBG), 2 ème éd, Bâle 2008, Art. 58 N. 9 ss, spéc. 15; cf. en outre Walter Ryser/Bernard Rolli, Précis de droit fiscal suisse (impôts directs), 4 ème éd., Berne 2002, p. 209). Pour le surplus, la recourante ne remet pas en cause la qualification de soustraction intentionnelle des reprises no 1.03 et 1.04. Les éléments soustraits s'élèvent ainsi à un montant total de 264'068 fr. (169'796 fr. pour la période 2003 et 94'272 fr. pour la période 2004). Il reste encore à examiner le montant des amendes prononcées.</w:t>
      </w:r>
    </w:p>
    <w:p>
      <w:r>
        <w:rPr>
          <w:b/>
        </w:rPr>
        <w:t>E. 4</w:t>
      </w:r>
    </w:p>
    <w:p>
      <w:r>
        <w:t>a)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de la fédérale du 12 décembre 1990 sur l'harmonisation des impôts directs des cantons et des communes [LHID; RS 642.14], 242 al. 2 LI). La tentative est réprimée de l’amende (art. 176 al. 1 LIFD, 243 al. 1 LI), fixée aux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CP). L’attitude coopérative du contribuable lors de l’établissement des faits doit être appréciée sous l’angle d’une atténuation de la faute (cf. Agner/Digeronimo/Neuhaus/Steinmann, Commentaire de la loi sur l'impôt fédéral direct: Complément, Zurich 2001, p. 374 ch. 2.4). b) En l'espèce, l'ACI a qualifié la faute de la recourante de moyenne tant sous l'angle de l'impôt cantonal et communal que de l'impôt fédéral direct. Elle a appliqué un coefficient de 1 pour la soustraction consommée pour la période fiscale 2003 (cette période ayant fait l'objet d'une taxation définitive) et de 2/3 pour la soustraction tentée pour la période fiscale 2004. Il est vrai que la recourante n'a pas d'antécédents en matière pénale fiscale et que ses organes ont collaboré avec l'administration durant la procédure. Les éléments de bénéfice soustraits restent toutefois relativement importants (264'068 fr.). Un tel montant ne permet pas de qualifier la faute commise de légère. S'agissant des coefficients retenus par l'ACI (1 pour la soustraction consommée et 2/3 pour la tentative de soustraction), ils correspondent à ceux appliqués en cas de faute moyenne (voir art. 175 al. 2 et 176 al. 2 LIFD; art. 242 al. 2 et 243 al. 2 LI). Les montants des amendes seront par conséquent confirmés.</w:t>
      </w:r>
    </w:p>
    <w:p>
      <w:r>
        <w:rPr>
          <w:b/>
        </w:rPr>
        <w:t>E. 5</w:t>
      </w:r>
    </w:p>
    <w:p>
      <w:r>
        <w:t>Les considérants qui précèdent conduisent au rejet du recours et à la confirmation de la décision attaquée. La recourante, qui succombe, supportera les frais de justice, arrêtés à 2'000 fr. (1'400 fr. en matière d'impôt cantonal et communal, 600 fr. en matière d'impôt fédéral direct).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