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FI.2009.0075 vom 16. September 2010</w:t>
      </w:r>
    </w:p>
    <w:p>
      <w:r>
        <w:t>VD Tribunal cantonal, 2010-09-16, FR</w:t>
      </w:r>
    </w:p>
    <w:p>
      <w:r>
        <w:rPr>
          <w:b/>
        </w:rPr>
        <w:t xml:space="preserve">Quelle: </w:t>
      </w:r>
      <w:r>
        <w:t>https://mcp.opencaselaw.ch/entscheid/vd_omni_FI.2009.0075</w:t>
      </w:r>
    </w:p>
    <w:p>
      <w:r>
        <w:t>FR: VD_OMNI FI.2009.0075 du 16 septembre 2010</w:t>
      </w:r>
    </w:p>
    <w:p>
      <w:r>
        <w:t>IT: VD_OMNI FI.2009.0075 del 16 settembre 2010</w:t>
      </w:r>
    </w:p>
    <w:p>
      <w:pPr>
        <w:pStyle w:val="Heading2"/>
      </w:pPr>
      <w:r>
        <w:t>Regeste</w:t>
      </w:r>
    </w:p>
    <w:p>
      <w:r>
        <w:t>X.________/Section taxe d'exemption - Taxation Service de la sécurité civile et, AFC Section de la taxe d'exemption | Confirmation de l'irrecevabilité de la réclamation, formée tardivement, contre une décision de taxation en matière de taxe d'exemption de l'obligation de servir.</w:t>
      </w:r>
    </w:p>
    <w:p>
      <w:pPr>
        <w:pStyle w:val="Heading2"/>
      </w:pPr>
      <w:r>
        <w:t>Erwägungen</w:t>
      </w:r>
    </w:p>
    <w:p>
      <w:r>
        <w:rPr>
          <w:b/>
        </w:rPr>
        <w:t>E. 1</w:t>
      </w:r>
    </w:p>
    <w:p>
      <w:r>
        <w:t>L’objet de la contestation, tel que circonscrit par la décision attaquée, porte exclusivement sur la recevabilité de la réclamation formée par le recourant contre la décision de taxation du 16 février 2009. Les griefs du recourant portant sur le fond de la cause échappent ainsi à l’objet du litige, et sont dès lors irrecevables (cf. ATF 2P.259/2006 du 18 avril 2007 consid. 2.2; sur les notions d’objet de la contestation et d’objet du litige, cf. ATF 2C_777/2009 du 21 avril 2010 consid. 1.1 et les références).</w:t>
      </w:r>
    </w:p>
    <w:p>
      <w:r>
        <w:rPr>
          <w:b/>
        </w:rPr>
        <w:t>E. 2</w:t>
      </w:r>
    </w:p>
    <w:p>
      <w:r>
        <w:t>a) Aux termes de l’art. 30 al. 1 de la loi fédérale du 12 juin 1959 sur la taxe d’exemption de l’obligation de servir (LTEO; RS 661), les décisions de taxation, ainsi que les décisions sur l’exonération ou la réduction de la taxe, peuvent, dans les 30 jours suivant leur notification, faire l’objet d’une réclamation écrite à l’autorité de taxation. Selon l’art. 22 al. 1 de l’ordonnance fédérale du 30 août 1995 sur la taxe d’exemption de l’obligation de servir (OTEO; RS 661.1), le délai commence à courir le lendemain de la notification de la décision. Les délais légaux, tel celui prévu par l'art. 30 al. 1 LTEO, ne peuvent être prolongés (art. 24 al. 1 OTEO). La restitution pour inobservation d’un délai peut en revanche être accordée si l’assujetti a, sans qu’il y ait faute de sa part, été d’empêché d’agir dans le délai fixé; la demande motivée de restitution indiquant l’empêchement doit être présentée dans les dix jours à compter de celui où l’empêchement a cessé, le requérant devant accomplir dans le même délai l’acte omis (art. 26 OTEO). b) Selon la jurisprudence, le fardeau de la preuve de la notification d'un acte, respectivement de la date à laquelle celle-ci a été effectuée, incombe en principe à l’autorité ou à la personne qui entend en tirer une conséquence juridique (cf. ATF 4A_236/2009 du</w:t>
      </w:r>
    </w:p>
    <w:p>
      <w:r>
        <w:rPr>
          <w:b/>
        </w:rPr>
        <w:t>E. 3</w:t>
      </w:r>
    </w:p>
    <w:p>
      <w:r>
        <w:t>Il résulte des considérants qui précèdent que le recours doit être rejeté et la décision de l'autorité intimée confirmée. Les frais de justice, par 500 fr., sont mis à la charge du recourant, qui succombe (art. 49 al. 1 de la loi cantonale vaudoise du 28 octobre 2008 sur la procédure administrative – LPA-VD; RSV 173.36).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