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FI.2008.0057 vom 15. September 2008</w:t>
      </w:r>
    </w:p>
    <w:p>
      <w:r>
        <w:t>VD Tribunal cantonal, 2008-09-15, FR</w:t>
      </w:r>
    </w:p>
    <w:p>
      <w:r>
        <w:rPr>
          <w:b/>
        </w:rPr>
        <w:t xml:space="preserve">Quelle: </w:t>
      </w:r>
      <w:r>
        <w:t>https://mcp.opencaselaw.ch/entscheid/vd_omni_FI.2008.0057</w:t>
      </w:r>
    </w:p>
    <w:p>
      <w:r>
        <w:t>FR: VD_OMNI FI.2008.0057 du 15 septembre 2008</w:t>
      </w:r>
    </w:p>
    <w:p>
      <w:r>
        <w:t>IT: VD_OMNI FI.2008.0057 del 15 settembre 2008</w:t>
      </w:r>
    </w:p>
    <w:p>
      <w:pPr>
        <w:pStyle w:val="Heading2"/>
      </w:pPr>
      <w:r>
        <w:t>Regeste</w:t>
      </w:r>
    </w:p>
    <w:p>
      <w:r>
        <w:t>X.________ c/Administration cantonale des impôts | La recourante n'a pas établi que le pouvoir de représentation préexistait au contrat générateur de droit. De plus la cession est intervenue à un prix supérieur à celui prévu dans l'acte de vente à terme; elle n'est dès lors pas intervenue à titre gratuit, motif dirimant s'opposant à l'exonération du droit de mutation.</w:t>
      </w:r>
    </w:p>
    <w:p>
      <w:pPr>
        <w:pStyle w:val="Heading2"/>
      </w:pPr>
      <w:r>
        <w:t>Erwägungen</w:t>
      </w:r>
    </w:p>
    <w:p>
      <w:r>
        <w:rPr>
          <w:b/>
        </w:rPr>
        <w:t>E. 1</w:t>
      </w:r>
    </w:p>
    <w:p>
      <w:r>
        <w:t>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no 43, ad. art. 178, note 1). A teneur de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 1993.0099 du 28 décembre 1993; FI 1993.0134 du 27 juin 1994; FI 1994.0115 du 16 juin 1995) ont précisé à réitérées reprises qu'il s'agissait d'un impôt formel frappant toute opération conclue qui réunit les deux conditions précitées. a) Dans l'arrêt FI 1995.0075 du 10 janvier 1996 (publié in RDAF 1996, 96), le Tribunal administratif a rappelé que l'imposition du transfert juridique était la règle, tandis que celle du transfert du point de vue économique demeurait l'exception. Il n'y a donc place pour la réalité économique découlant d'une opération de transfert que dans le strict cadre des opérations définies à l'art. 2 al. 2 LMSD, disposition dont on rappelle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Ainsi, dans le cadre des travaux préparatoires du législateur vaudois, le Conseil d'Etat a commenté l'article 2 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La commission du Grand Conseil chargée d'étudier le projet du Conseil d'Etat a, pour sa part, rappelé l'objectif visé par l¿art. 2 al. 2 LMSD: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 1998.0087 du 7 décembre 1998, confirmé par ATF 2P.31/1999 du 20 avril 1999, in RDAF 1999 II 516 et 527 ; FI 1997.0116 du 14 mai 1998 ; v. également, CCRI, arrêt FI 90/01 du 7 février 1991). c) Il n¿est pas rare cependant que, préalablement à la cession du droit d¿acquérir, le cédant ait expressément déclaré dans la promesse de vente qu¿il agissait pour le compte d¿un nommable. Cette situation a retenu l¿attention de la jurisprudence à plusieurs reprises, notamment dans les arrêts FI 1996.0026 et 1997.0015, tous deux du 30 juin 1998 et auxquels il est renvoyé. En substance, il est essentiel, pour le Tribunal administratif, de déterminer si un pouvoir de représentation sur la base et en fonction duquel agit le promettant-acquéreur préexiste au contrat générateur de droits. Dans l'affirmative, cette situation-ci n'est, pour le législateur, pas génératrice d'un droit de mutation; l'intermédiaire, soit le promettant-acquéreur représentant, agissant pour le compte d'un tiers, n'a en effet jamais acquis de droit propre à acquérir l'immeuble (v. Thomas, op. cit., p. 118). Aussi, le tribunal, dans les arrêts FI 1996.0026 et FI 1997.0015 précités, ainsi que dans l¿arrêt FI 2001.0001 du 23 avril 2001 a estimé que les « cédants »  avaient rapporté la preuve qu'ils agissaient, lors de la signature de la promesse de vente, en qualité de mandataires des futurs acquéreurs; dans les trois cas, il a donc exonéré la cession du droit d'emption à ceux-ci. d) Il est à relever cependant que, dans ces trois cas, l¿exonération du droit de mutation avait été accordée parce que la cession au nommable était intervenue à titre gratuit et sans contreprestation ; en effet, le cédant n¿avait tiré aucun profit de l'opération, même pas le remboursement de ses frais. Dans les trois arrêts précités, le tribunal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A la différence toutefois de ces trois autres cas, le tribunal, dans l¿arrêt FI 2004.0108 du 15 décembre 2004, a refusé l¿exonération du fait que la cession au nommable n¿est in casu pas intervenue à titre gratuit ; il a rappelé qu¿il suffisait que le cédant se soit fait rembourser ne serait-ce qu¿une partie des frais auxquels il a été exposé pour conclure au caractère onéreux de l¿opération.</w:t>
      </w:r>
    </w:p>
    <w:p>
      <w:r>
        <w:rPr>
          <w:b/>
        </w:rPr>
        <w:t>E. 2</w:t>
      </w:r>
    </w:p>
    <w:p>
      <w:r>
        <w:t>. En conséquence, la société Coopérative Y.________ a payé un montant d¿environ 283'452 fr. supérieur à celui prévu dans l¿acte de vente à terme alors que la recourante a fait un bénéfice de l¿ordre de 135'372 fr. dans l¿opération de transfert immobilier le solde du bénéfice étant revenu à la Commune de 1********. Force est dès lors de constater que la cession au nommable n¿est pas intervenue à titre gratuit et qu¿il s¿agit là d¿un motif dirimant s¿opposant d¿emblée à l¿exonération du droit de mutation (FI.2007.0008 ; FI.2005.0006). La deuxième condition d¿application de l¿art. 2 al. 2 LMSD est dès lors pleinement remplie et c¿est à juste titre que l¿autorité intimée a confirmé que cet acte générait la perception d¿un droit de mutation, en l¿occurrence réduit par l¿application de l¿art. 8 al. 2 LMSD.</w:t>
      </w:r>
    </w:p>
    <w:p>
      <w:r>
        <w:rPr>
          <w:b/>
        </w:rPr>
        <w:t>E. 3</w:t>
      </w:r>
    </w:p>
    <w:p>
      <w:r>
        <w:t>Les considérants qui précèdent conduisent le tribunal à rejeter le recours et à confirmer la décision attaquée. La recourante succombant un émolument de 1'000 fr. est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