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FI.2008.0055 vom 27. November 2008</w:t>
      </w:r>
    </w:p>
    <w:p>
      <w:r>
        <w:t>VD Tribunal cantonal, 2008-11-27, FR</w:t>
      </w:r>
    </w:p>
    <w:p>
      <w:r>
        <w:rPr>
          <w:b/>
        </w:rPr>
        <w:t xml:space="preserve">Quelle: </w:t>
      </w:r>
      <w:r>
        <w:t>https://mcp.opencaselaw.ch/entscheid/vd_omni_FI.2008.0055</w:t>
      </w:r>
    </w:p>
    <w:p>
      <w:r>
        <w:t>FR: VD_OMNI FI.2008.0055 du 27 novembre 2008</w:t>
      </w:r>
    </w:p>
    <w:p>
      <w:r>
        <w:t>IT: VD_OMNI FI.2008.0055 del 27 novembre 2008</w:t>
      </w:r>
    </w:p>
    <w:p>
      <w:pPr>
        <w:pStyle w:val="Heading2"/>
      </w:pPr>
      <w:r>
        <w:t>Regeste</w:t>
      </w:r>
    </w:p>
    <w:p>
      <w:r>
        <w:t>X.________ c/Autorité de surveillance des fondations | La fondation recourante conteste la validité de la base légale sur laquelle l'autorité intimée se fonde pour percevoir un émolument en contrepartie de son activité de surveillance. Cet émolument constitue une taxe causale, précisément un émolument administratif ordinaire. Si le strict respect du principe de la légalité peut être assoupli en matière fiscale dans la mesure où la taxe respecte les principes de la couverture des frais et d'équivalence, l'objet de la taxe et le cercle des personnes assujetties doivent cependant être définis par une base légale formelle. Tel n'est pas le cas en l'espèce, la LEMO ne prévoyant pas la perception d'un émolument pour une activité telle que la surveillance des fondations. Ni le code civil ni la loi d'introduction dans le Canton de Vaud du code civil ne pallient cette carence, car elles ne contiennent aucune disposition réservant expressément cette possibilité. De plus, l'activité de surveillance des fondations n'est pas exercée dans le seul intérêt de ces dernières, ce qui pourrait justifier le cas échéant la perception d'un émolument. Au contraire, cette activité est principalement motivée par la poursuite d'un intérêt public. Partant, aucune disposition légale valable ne permet la perception de l'émolument litigieux, laquelle viole le principe de la légalité. Recours admis.</w:t>
      </w:r>
    </w:p>
    <w:p>
      <w:pPr>
        <w:pStyle w:val="Heading2"/>
      </w:pPr>
      <w:r>
        <w:t>Erwägungen</w:t>
      </w:r>
    </w:p>
    <w:p>
      <w:r>
        <w:rPr>
          <w:b/>
        </w:rPr>
        <w:t>E. 1</w:t>
      </w:r>
    </w:p>
    <w:p>
      <w:r>
        <w:t>Le recours a été signé par un notaire, membre du conseil de fondation de la recourante. L'autorité intimée allègue que la représentation de la recourante par un seul membre du conseil de fondation n'est pas valable dès lors que, selon ses statuts, chaque membre dispose de la signature collective à deux. Elle soutient partant que le recours est irrecevable. a) Selon l'art. 10 de la loi du 29 juin 2004 sur le notariat (LNo; RSV 178.11), le notaire représente ses clients sans procuration auprès des conservateurs du registre foncier, du préposé au registre du commerce, des justices de paix, des autorités administratives, notamment fiscales, ainsi que des tribunaux en matière non contentieuse et de la Cour de droit administratif et public (ci-après: CDAP). b) Le présent recours interjeté par un notaire agissant en qualité de représentant de la recourante devant la CDAP et, partant, dispensé de produire une procuration idoine, est dès lors recevable.</w:t>
      </w:r>
    </w:p>
    <w:p>
      <w:r>
        <w:rPr>
          <w:b/>
        </w:rPr>
        <w:t>E. 2</w:t>
      </w:r>
    </w:p>
    <w:p>
      <w:r>
        <w:t>… Art. 2 1. La loi du 1 er décembre 1919 sur la matière est abrogée. Art. 3 1. Le Conseil d'Etat est chargé de l'exécution de la présente loi, qui entrera en vigueur le 1 er janvier 1935." Le Conseil d'Etat a fait usage de cette compétence, notamment en édictant le RE-Adm dont l'art. 7 al. 1 ch. 8 a la teneur suivante: "Art. 7 1. Le Département des finances perçoit les émoluments suivants: 8. En matière de surveillance des fondations: a) Emolument annuel de surveillance (en fonction de la fortune) Fr. 300.- à Fr. 5'000.-" C'est sur la base de cette dernière disposition que l'autorité intimée a perçu l'émolument litigieux. Il convient dès lors de s'interroger sur la nature juridique de ce montant afin de déterminer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pp. 374 ss; 131 II 271 consid. 5.1 p. 276, traduit et résumé in RDAF 2006 I p. 675; arrêt du Tribunal administratif genevois du 29 décembre 1976 consid. D, publié in RDAF 1977 p. 55; Xavier Oberson, Droit fiscal suisse, 3 ème éd., Bâle 2007, § 1 n° 6 ss pp. 4-5).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Il est dû par l'administré qui a recours à un service public, que l'activité de l'Etat ait été déployée d'office ou que l'administré l'ait sollicitée, que l'administré en retire un avantage ou non (cf. Blaise Knapp, Précis de droit administratif, 4 ème éd., Bâle 1991, n° 2777 s. p. 574 s., et les références citées ; Adrian Hungerbühler, Grundsätze des Kausalabgaberechts, ZBI 2003, pp. 505 ss). Autre forme d'émolument, l'émolument de chancellerie est défini comme une contribution modique perçue pour rémunérer un acte de l'administration qui n'exige pas un examen ou un contrôle particulier (ATF 93 I 632 consid. 2 et 3 pp. 634 s; Xavier Oberson, Droit fiscal suisse, 3 ème éd., Bâle 2007, n° 6 ss pp. 4-5 .) .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la rémunération n'a plus le caractère d'un émolument de chancellerie (arrêt FI.2002.0031 du 21 mars 2003 consid. 1b/aa; GE.2007.0155 du 18 janvier 2008 consid. 2b/aa; ATF 104 Ia 113 consid. 3 p. 115; 93 I 632 consid. 2 et 3 pp. 634 s. ) bb) En l'espèce, le montant facturé à la recourante en contrepartie de la tâche de surveillance déployée par l'autorité intimée constitue clairement une taxe causale, précisément un émolument administratif ordinaire. En effet, les tâches dévolues à l'autorité intimée sont trop complexes et le montant de l'émolument réclamé est trop important pour que l'on puisse le qualifier de simple émolument de chancellerie. b) Il y a lieu à ce stade d'examiner si la perception de l'émolument litigieux repose sur une base légale suffisante. aa) Le droit est le fondement et la limite de l’activité de l’Etat (art. 5 al. 1 de la Constitution fédérale de la Confédération suisse du 18 avril 1999 - Cst. - RS 101; art. 7 al. 1 de la Constitution du Canton de Vaud du 14 avril 2003 - Cst. VD - RSV 101.01). Le Grand Conseil adopte les lois et les décrets (art. 103 al. 2 Cst. VD). Le Conseil d’Etat édicte les dispositions nécessaires à leur application (art. 120 al. 2 Cst. VD). Valant pour l’ensemble de l’activité de l’Etat (ATF 128 I 113 consid. 3c p. 121; 123 I 1 consid. 2b pp. 3 ss), le principe de la légalité veut que tout acte étatique repose sur une base légale matérielle, suffisamment précise et édictée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126 I 180 consid. 2 pp. 182 ss; 118 Ia 245 consid. 3b p. 247, 305 consid. 2b pp. 310 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 ces restrictions ou obligations (ATF 128 I 113 consid. 3c p. 122; 123 I 221 consid. I.4a p. 226). En matière fiscale, le principe de la légalité a pour conséquence que l'Etat n'est autorisé à lever des impôts ou à percevoir des taxes que si les conditions fixées par la loi sont réunies et uniquement dans la mesure prévue par elle (cf. arrêt du Tribunal administratif genevois du 29 décembre 1976 consid. D, publié in RDAF 1977 p. 55). Le principe même du prélèvement de l'impôt ou d'une taxe causale doit reposer sur une base légale formelle (ATF 131 II 735 consid. 3.2 p. 739 ; 118 Ia 320 consid. 3a pp. 323 s), celle-ci devant être adoptée par le législateur (Xavier Oberson, Droit fiscal suisse, 3 ème éd., Bâle 2007, § 3 n° 3 p. 27). bb) Pour les taxes causales, on admet que le strict respect du principe de la légalité est moins important et peut être assoupli (ATF 132 II 371 consid.</w:t>
      </w:r>
    </w:p>
    <w:p>
      <w:r>
        <w:rPr>
          <w:b/>
        </w:rPr>
        <w:t>E. 2.1</w:t>
      </w:r>
    </w:p>
    <w:p>
      <w:r>
        <w:t>pp. 374 ss ; 47 consid. 4.1 p. 55; Xavier Oberson, Droit fiscal suisse, 3 ème éd., Bâle 2007 , § 3 n° 7 ss p. 28). Le fait que les émoluments soient soumis de plein droit aux principes d'égalité devant la loi, de proportionnalité et de couverture des frais offre en effet déjà une protection efficace au contribuable (arrêt du Tribunal administratif genevois du 29 décembre 1976 du 29 décembre 1976 consid. D, publié in RDAF 1977 p. 55). Les exigences du principe de la légalité sont ainsi réduites lorsqu'il est possible de contrôler que le montant de la taxe causale respecte le principe de la couverture des frais et le principe d'équivalence (ATF 123 I 254 consid. 2 p. 255; Xavier Oberson, Droit fiscal suisse, 3 ème éd., Bâle 2007,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365).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 voir aussi ATF 128 II 247, traduit et résumé in RDAF 2003 I p. 621 consid. 3.1 p. 623, selon lequel l'indication du montant maximal de la contribution dans une loi au sens formel peut déjà suffire pour les contributions causales; Xavier Oberson, Droit fiscal suisse, 3 ème éd., Bâle 2007, § 3 n° 9 p. 28, citant l'ATF paru in Archives 67, 426; Adrian Hungerbühler, Grundsätze des Kausalabgaberechts, ZBI 2003 p. 516 s.), faute de quoi le principe de la légalité serait vidé de sa substance.</w:t>
      </w:r>
    </w:p>
    <w:p>
      <w:r>
        <w:rPr>
          <w:b/>
        </w:rPr>
        <w:t>E. 3</w:t>
      </w:r>
    </w:p>
    <w:p>
      <w:r>
        <w:t>Il convient d'examiner si les émoluments prévus par l'art.</w:t>
      </w:r>
    </w:p>
    <w:p>
      <w:r>
        <w:rPr>
          <w:b/>
        </w:rPr>
        <w:t>E. 7</w:t>
      </w:r>
    </w:p>
    <w:p>
      <w:r>
        <w:t>al. 1 ch. 8 RE-Adm reposent sur une base légale suffisante au sens des principes exposés ci-dessus. a) Dans des affaires similaires,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puis a été remise en question par des arrêts récents (GE.2006.0196 et GE.2007.0134 du 16 octobre 2007, respectivement consid. 4 et 5, qui laissent la question ouverte). Dans un arrêt de principe rendu le 18 janvier 2008 dans la cause GE.2007.0155, le Tribunal de cgns a estimé que le règlement du 23 mars 1995 fixant les frais dus pour certaines interventions de la police cantonale (RE-Pol; RSV 133.12.1) ne constituait pas une base légale suffisante pour percevoir un émolument en contrepartie de contrôles routiers. Cette jurisprudence a été confirmée dans une affaire subséquente (cf. arrêt GE.2007.0230 du 22 février 2008). Enfin, le tribunal de céans a également jugé que le RE-Adm ne constituait pas une base légale suffisante permettant la perception d'un émolument administratif à raison d'actes matériels du service des forêts, de la faune et de la nature (arrêt GE.2007.0120 du 22 février 2008). Il sied d'examiner dans le cas d'espèce si le RE-Adm constitue une base légale suffisante pour permettre à l'autorité intimée de percevoir l'émolument litigieux.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RE-Adm – ne prévoit pas explicitement la fixation d'émoluments pour des prestations telles que les actes matériels de l'autorité de surveillance des fondations. Il y a dès lors lieu d'en dégager le sens par voie d'interprétation. bb) La LEMO de 1934 a été adoptée pour augmenter de 500 à 1000 francs (à l'époque) le montant maximum de l'émolument, compte tenu du fait que la délivrance de certaines autorisations accordait à des personnes relativement aisées des droits importants ou nécessitait une étude longue et délicate.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le contrôle des comptes d'une fondation ne peut pas être qualifié de pièce écrite. En conséquence, il faut considérer que la LEMO ne constitue pas une base légale suffisante permettant la fixation d'émoluments pour des prestations telles que la surveillance des fondations.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émoluments prélevés en contrepartie d'actes effectués dans l'intérêt et à la demande du contribuable (Pierre Moor, Droit administratif, vol. III, Berne 1992,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l'Etat (cf. l'art. 24 de la loi du 30 mars 2004 sur l'exercice de la prostitution - LPros - RSV 943.05, selon lequel le Conseil d'Etat fixe dans un règlement les émoluments perçus pour tout acte ou décision de l'autorité pris en application de la dite loi (al. 1) et qui réserve la facturation des frais, notamment en cas de déplacement de la police (al. 2); l'art. 3 de la loi du 22 septembre 1998 sur les entreprises de sécurité - LESéc - RSV 935.27, selon lequel le Conseil d'Etat fixe dans un règlement les émoluments et taxes perçus pour tout acte ou décision de l'autorité prise en application du concordat ou de la présente loi ( al. 1) et qui réserve la facturation des frais, notamment en cas de déplacement de la police ( al. 2), ainsi que l'arrêt GE.2001.0111 du 3 novembre 2005 consid. 5b/bb,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Service des automobiles et de la navigation, l'arrêt FI.2002.0031 du 21 mars 2003 consid. 1d/aa considérant que la LEMO pouvait constituer une fondement suffisant dans la mesure où elle était complétée par l'art. 105 al. 1 er LCR ). d) Il convient dès lors d'examiner s'il existe en l'espèce une autre base légale, fédérale ou cantonale, qui permette la perception de l'émolument litigieux. aa) L'art. 84 al. 2 CC prévoit que l'autorité de surveillance pourvoit à ce que les biens des fondations soient employés conformément à leur destination. Cette disposition constitue la base légale de la surveillance de la gestion financière des fondations (Parisima Vez, La fondation: lacunes et droit désirable, Berne 2004, n° 710 p. 200 et les références citées). Le législateur vaudois a attribué au Conseil d'Etat la tâche d'édicter les prescriptions nécessaires pour organiser la surveillance des fondations (art. 33 de la loi d'introduction dans le Canton de Vaud du Code civil suisse du 30 novembre 1920 - LVCC; RSVD 211.01). Le Conseil d'Etat a ainsi édicté le règlement du 25 janvier 1991 sur la surveillance des fondations (RSF; RSV 211.71.1), lequel prévoit à son art. 18 al. 1 que l'autorité de surveillance perçoit des émoluments pour ses activités conformément au RE-Adm. On relèvera que les lois formelles topiques en matière de surveillance des fondations ne contiennent aucune disposition réservant expressément la possibilité de percevoir un émolument en contrepartie de l'activité déployée par l'Etat. Reste à déterminer si les lois formelles que sont les art. 84 al. 2 CC et 33 RVCC suffisent à permettre à l'Etat de percevoir une taxe pour la surveillance des fondations. bb) Dans les causes dans lesquelles l'existence d'une base légale valable permettant la perception d'un émolument auprès d'une personne privée a été reconnue, cette perception était prévue expressément par une loi formelle. Ainsi les art. 55 al. 1 et 56 al. 3 de la loi du 26 mars 2002 sur les auberges et les débits de boisson (LADB; RSV 935.31) permet la notification d'un bordereau à l'exploitante d'une boulangerie-épicerie (arrêt FI.2003.0125 du 31 mars 2006). De même, l'art. 3 al. 2 LESéc pour la facturation des frais d'intervention de la police suite au déclenchement d'une alarme (arrêt GE.2006.0168 du 14 février 2007) et les art. 54 de la loi fédérale du 24 janvier 1991 sur la protection des eaux (LEaux; RS 814.20), 59 de la loi fédérale du 7 octobre 1983 sur la protection de l'environnement (LPE; RS 814.01) et 9 al. 1 et 2 de la loi du 17 septembre 1974 sur la protection des eaux contre la pollution (LPEP; RSV 814.31) pour la facturation des frais d'intervention du centre de conservation de la faune et de la nature (arrêt GE.2007.0120 du 22 février 2008). En revanche, comme exposé précédemment, la jurisprudence a estimé que la facturation à un automobiliste des frais d'intervention de la police ne reposait pas sur une base légale suffisante, quand bien même l'art. 55 de la loi fédérale du 19 décembre 1958 sur la circulation routière (LCR; RS 741.01) prévoit la possibilité de soumettre un conducteur de véhicule à un alcootest (cf. arrêt GE.2007.0155 précité). De même, la jurisprudence a remis en question la validité de la base légale sur laquelle la commission de la concurrence se fondait pour mettre à la charge d'une entreprise les frais de procédure en matière de concurrence (ATF 128 II 247 traduit in RDAF 2003 I p. 621 consid. 3.1 p. 623). cc) Par ailleurs, on ne peut pas soutenir que l'activité de surveillance se fait dans le seul intérêt des fondations, ce qui justifierait la perception d'un émolument. En effet, la surveillance des fondations ne dispense pas ces dernières de se doter d'un organe de révision, de tenir une comptabilité selon les dispositions du Code des obligations et d'assumer les coûts qui s'ensuivent. La fondation ne retire dès lors pas un avantage concret de l'activité déployée par l'Etat, laquelle est motivée principalement par un intérêt public. dd) Il découle des exemples qui précèdent que l'on ne peut déduire de normes aussi générales que l'art. 84 al. 2 CC ou l'art. 33 LVCC une base légale permettant la perception d'un impôt, ne serait-ce que d'une taxe causale. Par ailleurs, il est intéressant de relever que sur le plan fédéral, le préambule de l'ordonnance du 24 août 2005 sur les émoluments perçus par l'autorité fédérale de surveillance des fondations (OEm Surveillance des fondations; RS 172.041.18) ne se réfère pas au CC, mais à l'art. 46 a de la loi fédérale du 21 mars 1997 sur l'organisation du gouvernement et de l'administration (LOGA; RS 172.010) qui définit le cadre dans lequel un émolument peut être perçu pour les décisions et les autres prestations de l'administration fédérale. ee) Enfin, il sied de préciser que si l'art. 84 al. 2 CC constitue une base légale permettant à l'autorité de surveillance d'infliger une amende à une fondation (cf. arrêt FI.2005.0215 du 5 avril 2006), ceci n'implique pas qu'elle puisse percevoir un émolument en contrepartie de son activité de surveillance. En effet, la possibilité de sanctionner une fondation découle directement de devoir de surveillance de l'Etat (cf. ATF 5A.17/2000 du 18 juillet 2000 consid. 2a; Parisima Vez, La fondation: lacunes et droit désirable, Berne 2004, n° 877 p. 240). e)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l¿ale suffisante pour l'adoption, par le Conseil d'Etat, d'un règlement prévoyant la perception d'émoluments administratifs à raison d'actes matériels de l'autorité de surveillance des fondations et qu'aucune autre disposition légale ne permet la perception d'un tel émolument. Partant, la perception de cet émolument litigieux viole le principe de la légalité. 4. Le recours doit ainsi être admis aux frais de l'Etat et la décision attaquée annulée. 5. Vu l'issue du recours, la recourante, qui a agi par l’entremise d’un mandataire, a droit à des dépens (art. 55 de la loi du 18 décembre 1989 sur la juridiction et la procédure administratives – LJPA; RSV 173.36). Le montant des dépens sera réduit, le mandataire ayant agi pour le compte de quatre autres fondations dans le cadre d'affaires similaires soulevant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