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FI.2008.0026 vom 10. November 2008</w:t>
      </w:r>
    </w:p>
    <w:p>
      <w:r>
        <w:t>VD Tribunal cantonal, 2008-11-10, FR</w:t>
      </w:r>
    </w:p>
    <w:p>
      <w:r>
        <w:rPr>
          <w:b/>
        </w:rPr>
        <w:t xml:space="preserve">Quelle: </w:t>
      </w:r>
      <w:r>
        <w:t>https://mcp.opencaselaw.ch/entscheid/vd_omni_FI.2008.0026</w:t>
      </w:r>
    </w:p>
    <w:p>
      <w:r>
        <w:t>FR: VD_OMNI FI.2008.0026 du 10 novembre 2008</w:t>
      </w:r>
    </w:p>
    <w:p>
      <w:r>
        <w:t>IT: VD_OMNI FI.2008.0026 del 10 novembre 2008</w:t>
      </w:r>
    </w:p>
    <w:p>
      <w:pPr>
        <w:pStyle w:val="Heading2"/>
      </w:pPr>
      <w:r>
        <w:t>Regeste</w:t>
      </w:r>
    </w:p>
    <w:p>
      <w:r>
        <w:t>A.________, B.________ c/Administration cantonale des impôts, Administration fédérale des contributions | Contribuable ne travaillant plus depuis la fin des années huitante. Son seul revenu, qui lui permet de subvenir au train de vie confortable de sa famille, est celui que lui procure la vente régulière de pièces de sa collection d'affiches. Rejet du recours et maintient de la qualification de revenu imposable d'une activité accessoire déterminée par l'ACI. On ne se trouve effectivement pas en présence d'une simple gestion de la fortune privée dont les revenus sont exonérés de l'impôt en raison du caractère systématique et planifié de la manière d'agir, de la fréquence des opérations, du réinvestissement du produit des ventes dans de nouvelles acquisitions et d'un certain lien entre l'activité accessoire du recourant et son activité professionnelle antérieure (critères développés par la jurisprudence pour distinguer l'administration de la fortune privée de l'activité lucrative).</w:t>
      </w:r>
    </w:p>
    <w:p>
      <w:pPr>
        <w:pStyle w:val="Heading2"/>
      </w:pPr>
      <w:r>
        <w:t>Erwägungen</w:t>
      </w:r>
    </w:p>
    <w:p>
      <w:r>
        <w:rPr>
          <w:b/>
        </w:rPr>
        <w:t>E. 1</w:t>
      </w:r>
    </w:p>
    <w:p>
      <w:r>
        <w:t>Le litige a trait à l'impôt cantonal et communal, ainsi qu'à l'impôt fédéral direct. A l’instar de l’ACI, et comme la jurisprudence le lui permet, la cour de céans tranchera les recours aussi bien pour ce qui concerne l’impôt cantonal et communal, d’une part, que l’impôt fédéral direct, d’autre part (ATF 131 II 553 consid. 4.2 p. 559; 130 II 509 consid. 8.3 p. 511).</w:t>
      </w:r>
    </w:p>
    <w:p>
      <w:r>
        <w:rPr>
          <w:b/>
        </w:rPr>
        <w:t>E. 2</w:t>
      </w:r>
    </w:p>
    <w:p>
      <w:r>
        <w:t>Les recourants reprochent à l'autorité intimée d'avoir qualifié le gain de 300'000 USD réalisé en 2003 par la vente d'affiches de revenu imposable d'une activité indépendante, alors qu'il s'agirait selon eux d'un gain en capital privé exonéré, la collection d'affiches du recourant faisant partie de sa fortune privée. a) L'impôt sur le revenu a pour objet tous les revenus du contribuable, qu'ils soient uniques ou périodiques (art. 16 al. 1 LIFD; 19 al. 1 LI). Dans ce cadre, sont notamment imposables tous les revenus provenant de l'exploitation d'une entreprise commerciale, industrielle, artisanale, agricole ou sylvicole, de l'exercice d'une profession libérale ou de toute autre activité indépendante (art. 18 al. 1 LIFD; 21 al. 1 LI). En revanche, les gains en capital réalisés lors de l'aliénation d'éléments de la fortune privée ne sont pas imposables (art. 16 al. 3 LIFD; 19 al. 3 LI). Pour déterminer si un gain en capital relève de l'art. 16 al. 3 LIFD, respectivement de l'art. 19 al. 3 LI, ou des art. 18 LIFD et 21 LI, il s'agit de déterminer s'il a été obtenu dans le cadre de la simple administration de la fortune privée et réalisé que par la mise à profit d'une opportunité qui s'est présentée fortuitement ou si l'activité du contribuable était orientée dans son ensemble vers l'obtention d'un gain (ATF 2C_29/2008 du 28 mai 2008 consid. 3.2; 2A.66/2002 du 17 septembre 2002, traduit in RDAF 2003 II 209 consid. 2.1). Tel est notamment le cas, lorsque le contribuable ne réalise pas des actes de disposition isolés, mais qu'il poursuit un engagement planifié et combiné de travail et capital à son propre risque pour réaliser un gain. Cela peut résulter d'une activité professionnelle principale ou accessoire. Il n'est cependant pas exigé que le contribuable prenne part de manière reconnaissable pour les tiers aux activités économiques ni qu'il exerce son activité sous la forme de sa propre entreprise organisée. En conclusion, les revenus d'activité lucrative indépendante émanant d'une occupation indépendante occasionnelle sont également imposables, lorsque malgré l'objectif du gain, la planification fait défaut (ATF 2A.66/2002 précité). La jurisprudence et la doctrine ont développé, notamment dans les domaines du commerce professionnel d'immeubles et du commerce de titres, plusieurs critères pour distinguer l'administration de la fortune privée de l'activité lucrative. Cette distinction, comme le mentionne régulièrement la jurisprudence, doit se faire en appréciant le cas particulier au regard de l'ensemble des circonstances (ATF 125 II 113, 2A.66/2002 précité, 2C_29/2008 précité, consid. 3.3). Ainsi, on peut prendre en considération comme indice en faveur d'une activité excédant la simple administration de la fortune privée, le caractère systématique et planifié de la manière d'agir, la fréquence des opérations, le rapport étroit entre l'opération réalisée et l'activité professionnelle du contribuable, le recours à des connaissances professionnelles particulières, la durée de la possession, le recours dans une mesure importante à des fonds étrangers pour financer les opérations, ou la réalisation par le biais d'une société de personne, ainsi que le réinvestissement des produits de la vente dans de nouvelles acquisitions. Chacun de ces indices peut conduire, en concours avec les autres ou déjà par lui seul, pris isolément selon les circonstances, à la reconnaissance d'une activité lucrative indépendante (ibidem). Dans l'ATF 2A.66/2002 précité, le Tribunal fédéral a retenu que les revenus réalisés dans le cadre d'une vente partielle d'un stock de vin (5'000 bouteilles pour un prix de 838'000 fr.) pouvaient être considérés comme un revenu imposable d'une activité accessoire. Tout en admettant que les recourants avaient bien créé, dans une phase initiale, un stock de vin pour leur propre consommation et par pure passion, le Tribunal fédéral a considéré qu'une appréciation de toutes les circonstances amenait néanmoins à la conclusion que les recourants avaient ensuite constitué leur stock de vin, au moins en partie, de manière planifiée dans l'intention d'une vente ultérieure visant la réalisation d'un gain (cf. RDAF 2003 II 209 précitée, consid. 3.1 et 3.4). Le Tribunal fédéral a en effet retenu que les recourants, qui avaient déjà procédé quelques années auparavant à une vente partielle de la collection, devaient être conscients, au moment où ils l'ont complétée, que les grandes quantités stockées ne pourraient à nouveau être réduites que par la vente. Ils savaient en outre, grâce à la première vente, que la vente de vin pouvait s'avérer lucrative. Par ailleurs, pour notre haute cour, le fait que la vente ait été unique n'excluait pas, au vu de la nature de la marchandise, l'action systématique avec la volonté de réaliser un gain, le cas traité s'apparentant dans une certaine mesure au commerce d'immeubles. A l'appui de son raisonnement, le Tribunal fédéral a également considéré que le fait que la vente ait eu lieu lors d'un festival de vin, soit une occasion au cours de laquelle il existait de bonne chance de trouver un acheteur intéressé, avait une certaine portée dans l'appréciation des circonstances (cf. RDAF 2003 II 209 précitée, consid. 3.3), appréciation qui a en outre conduit le Tribunal fédéral a relevé que les recourants avaient financé eux-mêmes leur collection de vin, sans emprunter de capital étranger pour cela, qu'il n'y avait pas de relation avec l'activité principale du recourant, qu'ils n'avaient pas constitué de société de personnes pour la vente de vin et qu'ils ne disposaient pas non plus d'un propre local de vente (RDAF 2003 II 209 précitée, consid. 3.2). b) L'audience du 16 septembre 2006 a permis d'établir que le recourant avait débuté l'achat d'affiches original lorsqu'il étudiait l'architecture en Allemagne. Sa collection a essentiellement pris forme dans le courant des années 80 quand il a acquis la collection C.________. Il a ensuite augmenté le volume de celle-ci en achetant des lots de pièces ou des pièces uniques. Ces éléments, ainsi que l'audition du recourant, ne font pas douter de la passion de ce dernier pour les affiches, passion qui est à l'origine de sa collection. Il n'est ainsi pas contesté que la collection d'affiches du recourant faisait partie à l'origine de la fortune privée des recourants. Sans que le lien entre la profession du recourant et sa passion soit extrêmement limpide, il n'est pas inconcevable d'imaginer que la formation et la profession du recourant l'ait entraîné vers les affiches originales. Certaines qualités professionnelles nécessaires à un architecte urbaniste sont proches de celles nécessaires à un dessinateur d'affiches. D'ailleurs, la base première de ces deux professions est le dessin. Dans le cadre de l'examen de l'ensemble des circonstances du présent cas, l'on peut également relever que le recourant n'a pas eu recours à des fonds étrangers pour financer ces opérations, ou en tout cas pas dans une mesure importante, et n'en a toujours pas besoin. Il n'a également pas créé une société de personne afin de vendre ses affiches. Il n'a d'ailleurs mis sa collection en vitrine que récemment en créant un site internet et cela dans l'idée de vendre la totalité de sa collection, sa passion pour les affiches ne s'étant pas transmise à sa famille. Néanmoins, il convient de ne pas minimiser l'importance d'un tel site, qui certes ne permet pas la vente en ligne, mais dont le caractère publicitaire n'est pas sans pertinence dans le cadre du présent raisonnement. Il n'en demeure pas moins que le recourant vend des affiches depuis de nombreuses années et que les revenus que ces ventes lui procurent servent principalement à financer, depuis qu'il a cessé toutes autres activités lucrative à la fin des années 80, le train de vie de sa famille qu'il estime entre 200 à 300'000 fr. par an. Il réinvestit également partiellement le produit de ces ventes dans l'achat de nouvelles affiches qui viennent actuellement augmenter sa collection qualitativement, mais non quantitativement, selon ses dires. Les opérations du recourant ont un caractère systématique et sont fréquentes. Leur caractère planifié découle également de leur but, soit assurer un revenu aux recourants. Il paraît en effet peu probable que le recourant ne vende des affiches que lorsque un acheteur potentiel se présente à lui, sans réfléchir à une stratégie de vente, alors qu'il doit assumer les charges de toute une famille, charges qui sont d'ailleurs conséquentes et qui ne peuvent être couvertes par une mise à profit d'une opportunité de vente fortuite. D'ailleurs, par sa présence lors d'exposition d'affiches dans des musées ou des fondations, et cela dans le monde entier, le recourant s'assure une visibilité sur le marché de la vente. Sans que ces opérations ne conduisent systématiquement à une vente d'affiches – il s'y est parfois rendu pour opérer des donations – elles s'inscrivent parfaitement dans la planification de ventes d'affiches. Le manque d'organisation dans la gestion de sa collection que tente de démontrer le recourant, en ne sachant pas exactement le nombre d'affiches qu'il détient et en ne pouvant établir avec certitude le montant des ventes d'affiches en 2003, ne suffisent pas à anéantir le caractère planifié des ventes. Il n'est en effet pas nécessaire d'être une personne exceptionnellement organisée pour s'engager dans une activité "commerciale" qui dépasse la simple gestion de la fortune privée, une opération unique pouvant dans certains cas déjà procurer un revenu jugé imposable, au regard de la jurisprudence précitée. On relèvera encore que l'hypothèse d'une décapitalisation progressive de sa collection telle qu'avancée par le recourant n'a pas été démontrée. En effet, il est difficile d'établir le nombre exact d'affiches qu'il détient. En 2003, il avançait le nombre de 15'500 affiches, alors qu'aujourd'hui il en détiendrait 17'000, chiffre qu'il juge plus proche de la réalité comme il l'a précisé lors de son audition. Même si le recourant ne détient pas un catalogue ou un fichier exhaustif de ses affiches, il semble peu probable qu'il ait pu faire une erreur de calcul portant sur 1'500 affiches, surtout que le recourant n'est pas un simple collectionneur amateur. Les explications fournies par le recourant sur cette erreur de calcul lors de l'audience n'ont pas convaincu la cour de céans. On rappellera à ce propos qu'il s'occupe de sa collection à temps plein, n'ayant pas d'autre activité lucrative depuis environ 28 ans. L'on se trouve donc loin de l'hypothèse de la décapitalisation qu'il avance. Quant aux gains réalisés en 2003, dont le montant n'est pas contesté par les parties, ils sont conséquents, certes pas autant que pourrait le laisser penser l'examen des différents comptes du recourant, dont les explications sur les mouvements de fonds visibles sont convaincantes, mais encore assez pour ne pas être écartés dans l'appréciation de l'ensemble des circonstances nécessaires à l'analyse du cas d'espèce. A ce propos, il n'est pas vraiment pertinent de savoir si le recourant a cherché à réaliser autant de vente en 2003 ou si cette année-là s'est révélée plus fructueuse que d'autres – ce qui n'est pas établi – le caractère systématique et nécessaire de ces ventes ayant été démontré. Il n'en reste pas moins que c'est l'importance du montant déclaré en 2003 qui a attiré l'attention de l'autorité intimée sur la situation des recourants, tout en précisant que celle-ci, par les démarches entreprises, n'a pas décidé de changer sa pratique d'imposition des revenus des recourants, mais bien voulu les qualifier pour la première fois, l'autorité intimée ayant admis en audience avoir omis de le faire précédemment. L'on relèvera encore que la situation des recourants est sur certains points semblables à celle exposée dans l'ATF 2A.66/2002 précité. En effet, il y a au départ de la collection d'affiches, une passion, comme pour les collectionneurs de vin. En outre, le recourant n'a pas eu besoin de financement tiers pour former et conserver sa collection, à tout le moins depuis un certain nombre d'années, tout comme dans l'arrêt cité. Il n'a également pas créé de société de personnes pour vendre ses affiches. Et surtout, le recourant connaît bien valeur de sa collection sur le marché, vu le nombre de ventes d'affiches qu'il a déjà effectué. Ces points communs sont autant d'éléments qu'il convient de prendre en considération dans l'examen du cas d'espèce. Ainsi, au vu du caractère systématique et planifié de la manière d'agir, de la fréquence des opérations, du réinvestissement du produit des ventes dans de nouvelles acquisitions et d'un certain lien entre l'activité du recourant et son activité professionnelle, l'hypothèse d'une simple administration de la fortune privée et de gains réalisés que par la mise à profit d'une opportunité qui s'est présentée fortuitement n'est pas concevable. On se trouve bien plutôt en présence de revenus imposables d'une activité accessoire, comme l'a retenu à juste titre l'autorité intimée.</w:t>
      </w:r>
    </w:p>
    <w:p>
      <w:r>
        <w:rPr>
          <w:b/>
        </w:rPr>
        <w:t>E. 3</w:t>
      </w:r>
    </w:p>
    <w:p>
      <w:r>
        <w:t>Compte tenu de ce qui précède, la question de la qualification juridique de ces revenus imposables peut rester indécise.</w:t>
      </w:r>
    </w:p>
    <w:p>
      <w:r>
        <w:rPr>
          <w:b/>
        </w:rPr>
        <w:t>E. 4</w:t>
      </w:r>
    </w:p>
    <w:p>
      <w:r>
        <w:t>En conclusion, le recours doit être rejeté et la décision attaquée confirmée. Les frais sont mis à la charge des recourants; il n'y a pas lieu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