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FI.2008.0004 vom 21. Januar 2009</w:t>
      </w:r>
    </w:p>
    <w:p>
      <w:r>
        <w:t>VD Tribunal cantonal, 2009-01-21, FR</w:t>
      </w:r>
    </w:p>
    <w:p>
      <w:r>
        <w:rPr>
          <w:b/>
        </w:rPr>
        <w:t xml:space="preserve">Quelle: </w:t>
      </w:r>
      <w:r>
        <w:t>https://mcp.opencaselaw.ch/entscheid/vd_omni_FI.2008.0004</w:t>
      </w:r>
    </w:p>
    <w:p>
      <w:r>
        <w:t>FR: VD_OMNI FI.2008.0004 du 21 janvier 2009</w:t>
      </w:r>
    </w:p>
    <w:p>
      <w:r>
        <w:t>IT: VD_OMNI FI.2008.0004 del 21 gennaio 2009</w:t>
      </w:r>
    </w:p>
    <w:p>
      <w:pPr>
        <w:pStyle w:val="Heading2"/>
      </w:pPr>
      <w:r>
        <w:t>Regeste</w:t>
      </w:r>
    </w:p>
    <w:p>
      <w:r>
        <w:t>X.________ c/Administration cantonale des impôts | Rappel de l'évolution de la jurisprudence depuis la pratique Dumont sur la distinction entre les frais donnant une plus-value à un immeuble (déductibles dans le cadre du calcul de l'assiette du gain immobilier) et les frais nécessaires à l'entretien d'un immeuble (déductibles du revenu du contribuable). La maxime d'office n'exonère pas les parties du devoir de motiver leur demande: le contribuable qui entend faire valoir une déduction doit l'établir. Confirmation du refus de l'OID de se fonder sur l'estimation réalisée en 1993 pour déterminer le prix d'acquisition de l'immeuble en application de l'art. 265 LI, qui ne peut plus être invoqué en l'espèce. Pas de violation du droit d'être entendu.</w:t>
      </w:r>
    </w:p>
    <w:p>
      <w:pPr>
        <w:pStyle w:val="Heading2"/>
      </w:pPr>
      <w:r>
        <w:t>Erwägungen</w:t>
      </w:r>
    </w:p>
    <w:p>
      <w:r>
        <w:rPr>
          <w:b/>
        </w:rPr>
        <w:t>E. 1</w:t>
      </w:r>
    </w:p>
    <w:p>
      <w:r>
        <w:t>Interjeté dans le délai légal de trente jours prévu par l'art. 200 LI, le présent recours est recevable en la forme.</w:t>
      </w:r>
    </w:p>
    <w:p>
      <w:r>
        <w:rPr>
          <w:b/>
        </w:rPr>
        <w:t>E. 2</w:t>
      </w:r>
    </w:p>
    <w:p>
      <w:r>
        <w:t>Le recourant invoque en premier lieu la violation du droit d'être entendu, en faisant valoir que l'ACI n'avait pas retenu certaines impenses invoquées, sans préciser exactement quels postes elle avait écartés et pour quels motifs. Il se plaint donc d'une absence de motivation de la décision entreprise. a) Le droit d'être entendu comprend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132 II 485 consid. 3.2 p. 494). Le droit d'être entendu implique également pour l'autorité l'obligation de motiver sa décision. La motivation d'une décision est suffisante lorsque l'intéressé est en mesure d'en apprécier la portée et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133 III 439 consid. 3.3 p. 445; 130 II 530 consid. 4.3 p. 540). b) Dans le cas particulier, le recourant, qui a été reçu le 9 mai 2007 par deux représentants de l'OID, a eu l'occasion de connaître précisément la position de l'autorité fiscale sur chacun des postes d'impenses invoqués. Il savait donc clairement que les impenses non retenues étaient considérées comme des frais d'entretien non déductibles. S'agissant plus précisément du moyen du recourant  tiré de l'art. 265 LI, le conseil de celui-ci a été expressément invité le 4 octobre 2007 à se prononcer sur l'arrêt du Tribunal administratif du 29 mars 2006 (FI.2005/0216). Après avoir sollicité le 16 octobre 2007 une prolongation de délai, Me Aba Neeman n'a pas déposé d'observations. En outre, dans sa détermination du 11 mars 2008, l'ACI a repris, pour les analyser, l'ensemble des pièces que le recourant avait produites au titre d'impenses. Le recourant n'a pas fait usage du délai qui lui a été fixé pour déposer d'éventuelles observations. Le droit du recourant, tel qu'il est garanti constitutionnellement, a donc été respecté. La motivation de la décision entreprise était suffisante pour que le recourant puisse en apprécier la portée et la déférer à une instance supérieure en connaissance de cause. Partant, le droit d'être entendu du recourant n'a aucunement été violé.</w:t>
      </w:r>
    </w:p>
    <w:p>
      <w:r>
        <w:rPr>
          <w:b/>
        </w:rPr>
        <w:t>E. 3</w:t>
      </w:r>
    </w:p>
    <w:p>
      <w:r>
        <w:t>Sur le fond, le recourant soulève deux moyens. Il revendique, d'une part, l'application de l'art. 265 LI et, d'autre part, fait valoir que ses impenses sont supérieures à celles retenues par l'autorité intimée, soit dans les deux cas, des griefs ayant trait à la détermination de l'assiette du gain immobilier.</w:t>
      </w:r>
    </w:p>
    <w:p>
      <w:r>
        <w:rPr>
          <w:b/>
        </w:rPr>
        <w:t>E. 4</w:t>
      </w:r>
    </w:p>
    <w:p>
      <w:r>
        <w:t>a) Le contribuable est d'avis que l'autorité intimée aurait dû retenir, au titre d'impenses, la totalité des déductions qu'il a réclamées, soit 108'336 fr., sans toutefois démontrer clairement pour chaque facture qu'il a produite la qualité d'impense des travaux exécutés. b) Le gain immobilier imposable est constitué de la différence entre le produit de l'aliénation et le prix d'acquisition augmenté des dépenses d'investissement (cf. Jean-Marc Rivier, Droit fiscal suisse, L'imposition du revenu et de la fortune,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(Locher, Das Objekt des bernischen Grundstückgewinnsteuer, Diss. Bern 1976., p. 67). Cette solution est d'ailleurs celle qui découle, en droit vaudois, de l'art. 66 al. 1 de la loi du 4 juillet 2000 sur les impôts directs cantonaux (cf. également art. 12 al. 1 de la loi fédérale du 14 décembre 1990 sur l'harmonisation des impôts directs des cantons et des communes; ci-après: LHID). L'art. 70 LI énumère les dépenses du contribuable considérées comme impenses au sens de la disposition précitée. On y trouve notamment les dépenses donnant une plus-value à l'immeuble (al. 1 let. c) ainsi que les droits de mutation (let. a), les commissions et frais de courtage (let. b). Les frais donnant une plus-value à l'immeuble s'opposent aux frais nécessaires à l'entretien des immeubles (privés) du contribuable, lesquels sont déductibles du revenu (art. 36 let. b LI; cf. également art. 32 al. 2 de la loi fédérale du 14 décembre 1990 sur l'impôt fédéral direct, ci-après: LIFD) car ils sont considérés comme des frais d'acquisition du revenu immobilier, même si le contribuable habite l'immeuble dont il est propriétaire car, dans cette hypothèse, le propriétaire est imposé sur la valeur locative de son immeuble. (Jean-Marc Rivier, op. cit., p. 439-440). Dans la pratique, la distinction entre ces deux notions est relativement difficile à opérer, ce qui a occasionné une jurisprudence abondante et évolutive. Selon la pratique "Dumont", les frais consentis dans les cinq ans dès l'acquisition de l'immeuble ne sont en principe pas considérés comme des dépenses d'entretien mais comme des dépenses de plus-value, dans la mesure où ces dernières améliorent l'état de l'immeuble. A l'inverse, sont des frais d'entretien les dépenses engagées par le contribuable pour maintenir son immeuble dans l'état où il se trouvait lorsqu'il a été acquis, de manière à lui conserver sa valeur d'usage initiale, ceux-ci étant alors déductibles du revenu imposable (Walter Ryser, Bernard Rolli, Précis de droit fiscal suisse, Berne 2002, p. 395; Rivier, op. cit., p. 441). Dans un arrêt rendu le 24 avril 1997, (RDAF 1997 II 582 et ss), le Tribunal fédéral a modifié, ou plutôt précisé, la jurisprudence antérieure (inaugurée avec l'ATF 99 Ib 362) et la pratique (dite "Dumont" ) qui prévalait jusqu'alors en matière de déduction des frais d'entretien d'immeubles; désormais, en substance, pour les immeubles nouvellement acquis mais dont l'entretien n'a pas été négligé, les frais peuvent être déduits du revenu brut lorsqu'il ont trait à l'entretien périodique et non au rattrapage. Les cas typiques étant ceux des immeubles mal entretenus et dont l'entretien (la rénovation) entraîne une augmentation de la valeur de l'immeuble (consid. 1c). Dans ce dernier cas, il appartient au contribuable d'établir que l'immeuble en question se trouvait dans une situation d'entretien négligé et que les travaux en cause ont été consentis dans un but de rattrapage d'entretien pour pouvoir être qualifiés de travaux à plus-value (FI.2004.0111, du 27 avril 2005, consid. 2b).En effet, la maxime d’office consacrée à l’art. 89 LPA impose certes à l’autorité de recours le devoir d’établir de manière conforme et complète l’état de fait à juger (F. Gygi, Bundesverwaltungsrechtspflege, 2è éd. p. 207). Toutefois, si elle allège la charge incombant aux parties d’alléguer les faits et de soumettre leurs moyens de preuve, elle n’influe en revanche pas sur la charge matérielle objective de la preuve. En procédure contentieuse, en particulier, la maxime d’office n’exonère pas les parties du devoir de motiver leur demande. Il leur revient au contraire d’invoquer les faits à l’appui de leur demande et d’étayer leurs griefs. Conformément au principe général selon lequel c'est au contribuable qu'il incombe de démontrer l'exactitude des indications qu'il fournit (StE 1988, B.93.3 Nr 3; Revue fiscale 1986, p. 369), il ne suffit pas de prétendre à une déduction pour que l'autorité fiscale soit tenue de l'admettre. Ainsi, celui qui entend faire valoir une impense déductible doit l'établir (à ce sujet, not. FI.1997.0049, du 15 avril 1999, consid. 2a). c) En l'occurrence, le recourant revendique la déduction de plusieurs dépenses en relation avec son immeuble qu'il qualifie d'impenses. Il sied donc d'examiner si elles peuvent être qualifiées d'impenses au sens de l'art. 70 LI et de la jurisprudence précitée, c'est-à-dire notamment si l'entretien de son immeuble a été négligé durant de nombreuses années au point que les investissements dont il réclame déduction doivent être considérés comme des frais de rattrapage d'entretien. En premier lieu, on relèvera, à l'instar de l'autorité intimée, que le contribuable n'a produit aucun justificatif pour un montant de 42'703 francs au sujet duquel la seule indication figurant au dossier est "L.________", soit le nom de la personne avec laquelle le recourant a conclu une promesse de vente le 28 novembre 2003. Comme l'ACI, on ne peut que constater, non seulement que le contribuable n'a apporté aucune preuve de la réalité de ces dépenses, mais qu'il est fort douteux qu'il s'agisse d'impenses déductibles.  Aussi, c'est manifestement à bon droit que la déduction de ce montant a été rejetée. Les frais d'avocat et de justice du contribuable, à hauteur de 11'130 fr., de même que les travaux de sécurisation de la toiture, par 2'802 fr., ne sauraient non plus être considérés comme des travaux apportant une quelconque plus-value à l'immeuble du recourant. Il en est de même de la facture de 4'139.50 fr. que la Municipalité d'Aigle a adressée au recourant, relative à des frais de sécurisation du domaine public et de contrôle. Les frais occasionnés par une intervention urgente des pompiers, facturés au contribuable à raison de 575 fr., ne sauraient non plus être considérés comme une impense apportant une quelconque plus-value à l'immeuble. Il en est de même des frais de nettoyage du bâtiment et d'évacuation de matériaux, facturés au contribuable par 11'500 francs, dès lors que le nettoyage doit être considéré comme relevant de l'entretien courant d'un bâtiment. Dans la mesure où les factures de D.________ ont été admises par l'ACI au titre d'impenses, seules les factures de G.________, par 29'000 fr., et celle de F.________ SA, par 422 fr., sont susceptibles d'être admises au titre de frais de rattrapage d'entretien. Or, à cet égard, force est de constater que le recourant n'a pas apporté la preuve que les travaux en question étaient indispensables à la conservation de la valeur de l'immeuble et qu'ils résultaient d'une négligence d'entretien antérieure. Il s'est en effet borné à exposer que les travaux exécutés par G.________ avaient été réclamés par le Service cantonal des monuments historiques, sans fournir la moindre preuve de ces allégations. On ignore donc quelles étaient les exigences de ce service et si les injonctions données étaient en relation avec un quelconque manque d'entretien. Quant aux travaux accomplis par F.________ SA (débouchage du tuyau dans le sol et remplacement du tuyau de descente), le recourant ne démontre pas non plus que leur coût pourrait être pris en compte au titre de frais de rattrapage d'entretien. A aucun moment le recourant n'a d'ailleurs pris la peine de décrire l'état antérieur des parties du bâtiment sur lesquelles des travaux de plus-value ou des interventions destinées à maintenir sa valeur auraient été exécutées. Il faut donc admettre que le montant des impenses retenu par l'autorité intimée ne prête pas le flanc à la critique.</w:t>
      </w:r>
    </w:p>
    <w:p>
      <w:r>
        <w:rPr>
          <w:b/>
        </w:rPr>
        <w:t>E. 5</w:t>
      </w:r>
    </w:p>
    <w:p>
      <w:r>
        <w:t>Le recourant reproche également à l'autorité intimée d'avoir refusé de se fonder sur l'estimation fiscale réalisée en 1993 pour déterminer le prix de revient de l'immeuble en application de l'art. 256 LI. Selon l 'art. 44 al. 2 de l'ancienne loi du 26 novembre 1956 sur les impôts directs cantonaux (aLI), en vigueur jusqu’au 31 décembre 2000 le contribuable pouvait invoquer, comme prix d’acquisition, lorsque l'acquisition était intervenue plus de cinq ans avant l’aliénation, l’estimation fiscale de son immeuble cinq ans avant l’aliénation. Ce délai avait notamment pour conséquence d'épargner au contribuable la lourde tâche de réunir la totalité des factures relatives aux impenses invoquées en déduction du prix de vente. Il avait pour effet d’annihiler la plus-value constituée entre la vingtième et la cinquième années de possession ayant précédé la vente, ce qui avait conduit le législateur à arrêter un taux d’imposition uniforme, le taux applicable à la réalisation des immeubles agricoles ayant toutefois été réduit (ibid., pp. 398-399 ; Félix Paschoud, L’impôt sur les gains immobiliers en droit vaudois, thèse Lausanne, 1981, p. 71-72). L'art. 265 LI, en vigueur depuis le 1 er janvier 2001, a la teneur suivante: «Lorsque l'acquisition d'un immeuble est intervenue plus de cinq ans avant l'aliénation, le contribuable peut invoquer, comme prix d'acquisition, l'estimation fiscale des révisions générales de 1993, 1995 et 1997. Dans ce cas, l'impôt est perçu aux taux de l'article 51, alinéa 3 de la loi du 26 novembre 1956 sur les impôts directs cantonaux ». Dans les travaux préparatoires de la LI (BGC mai 2000, p. 804-807), le législateur a exposé qu'il n'était pas envisageable d'adopter un système de taux dégressifs, tenant compte de la durée de possession de l'immeuble, et de maintenir durablement la possibilité de faire valoir l'estimation fiscale cinq ans avant l'aliénation comme prix de revient de l'immeuble. Il était en effet illogique de fixer des taux d'imposition bas pour une longue durée de possession et simultanément de réduire la matière imposable de manière souvent importante en revendiquant l'estimation fiscale cinq ans avant l'aliénation. La procédure de consultation a révélé que certains milieux avaient souhaité le maintien de cette disposition permettant au contribuable de faire valoir l'estimation fiscale cinq ans avant la vente. C'est dans ces circonstances que le Conseil d'Etat a proposé une mesure transitoire permettant au contribuable de faire valoir les estimations fiscales des révisions générales de 1993, 1995 et 1997 à la place du prix d'acquisition de l'immeuble, auquel cas seuls les taux de l'art. 51 al. 3 de l'ancienne loi du 26 novembre 1956 sur les impôts directs cantonaux (ci-après: aLI) seraient applicables (18 et 21%), le contribuable ne pouvant alors pas se prévaloir des taux dégressifs de la nouvelle loi. Le Grand Conseil a toutefois précisé que cette disposition transitoire, limitée dans le temps, deviendrait sans objet dès 2003 pour les estimations fiscales de 1993 (immeubles locatifs), dès 2005 pour les estimations fiscales de 1995 (PPE, villas) et dès 2007 pour les immeubles agricoles puisqu'à ces dates en effet, l’art. 265 devenait sans objet dès lors que les propriétaires pouvaient invoquer l’art. 67 al. 2 LI (BGC mai 2000, p. 807). La Cour de droit administratif et public a eu l'occasion de rappeler, s'agissant des exceptions à l'imposition ordinaire, qu'elles devaient être interprétées de manière restrictive (FI.2004.0216, du 29 mars 2006, consid. 1b). En l'occurrence, le recourant a aliéné son immeuble le 9 juillet 2004. Il s'ensuit qu'il ne peut invoquer comme prix d'acquisition l'estimation fiscale de l'année 1993, qui est devenue sans objet dès 2003.</w:t>
      </w:r>
    </w:p>
    <w:p>
      <w:r>
        <w:rPr>
          <w:b/>
        </w:rPr>
        <w:t>E. 6</w:t>
      </w:r>
    </w:p>
    <w:p>
      <w:r>
        <w:t>Vu ce qui précède, le recours doit être rejeté aux frais de son auteur,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