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FI.2007.0152 vom 25. September 2009</w:t>
      </w:r>
    </w:p>
    <w:p>
      <w:r>
        <w:t>VD Tribunal cantonal, 2009-09-25, FR</w:t>
      </w:r>
    </w:p>
    <w:p>
      <w:r>
        <w:rPr>
          <w:b/>
        </w:rPr>
        <w:t xml:space="preserve">Quelle: </w:t>
      </w:r>
      <w:r>
        <w:t>https://mcp.opencaselaw.ch/entscheid/vd_omni_FI.2007.0152</w:t>
      </w:r>
    </w:p>
    <w:p>
      <w:r>
        <w:t>FR: VD_OMNI FI.2007.0152 du 25 septembre 2009</w:t>
      </w:r>
    </w:p>
    <w:p>
      <w:r>
        <w:t>IT: VD_OMNI FI.2007.0152 del 25 settembre 2009</w:t>
      </w:r>
    </w:p>
    <w:p>
      <w:pPr>
        <w:pStyle w:val="Heading2"/>
      </w:pPr>
      <w:r>
        <w:t>Regeste</w:t>
      </w:r>
    </w:p>
    <w:p>
      <w:r>
        <w:t>A.X.________ et B.X.________ c/Administration cantonale des impôts, Administration fédérale des contributions | Taxation intermédiaire. Conditions d'application (rappel): suppose une modification structurelle profonde et durable de la situation professionnelle; ainsi en cas d'activité fortement diminuée, devenue pratiquement insignifiante ou d'abandon de l'activité principale pour une activité accessoire, mais non lors du passage d'une activité de plein-temps à mi-temps. En l'espèce, le recourant a cessé l'une de ses 2 activités lucratives à mi-temps, ce qui a provoqué une baisse de ses revenus de 65% par rapport aux gains de 1997 et de 43% par rapport à ceux de 1998. Cette baisse n'est pas d'une telle ampleur qu'elle permette de retenir une modification structurelle profonde de la situation professionnelle. C'est dès lors à juste titre que l'ACI a refusé de procéder à une taxation intermédiaire. Recours rejeté. (ATF 2C_686/2009 du 13 avril 2010 : recours rejeté dans la mesure où il est recevable).</w:t>
      </w:r>
    </w:p>
    <w:p>
      <w:pPr>
        <w:pStyle w:val="Heading2"/>
      </w:pPr>
      <w:r>
        <w:t>Erwägungen</w:t>
      </w:r>
    </w:p>
    <w:p>
      <w:r>
        <w:rPr>
          <w:b/>
        </w:rPr>
        <w:t>E. 1</w:t>
      </w:r>
    </w:p>
    <w:p>
      <w:r>
        <w:t>Déposé dans le délai de trente jours prévu par les art. 200 LI et 140 de la loi fédérale du 14 décembre 1990 sur l'impôt fédéral direct (LIFD; RS 642.11), le recours est intervenu en temps utile. Il est au surplus recevable en la forme.</w:t>
      </w:r>
    </w:p>
    <w:p>
      <w:r>
        <w:rPr>
          <w:b/>
        </w:rPr>
        <w:t>E. 2</w:t>
      </w:r>
    </w:p>
    <w:p>
      <w:r>
        <w:t>Le litige porte sur le bien fondé de la décision de l'ACI de refuser de procéder à une taxation intermédiaire au 1 er septembre 2000.</w:t>
      </w:r>
    </w:p>
    <w:p>
      <w:r>
        <w:rPr>
          <w:b/>
        </w:rPr>
        <w:t>E. 3</w:t>
      </w:r>
    </w:p>
    <w:p>
      <w:r>
        <w:t>Réduction du taux d'activité: accorder une taxation intermédiaire pour toute réduction correspondant à 25% au minimum sur deux ans (ex. passer de 90% à 40% durant une année)</w:t>
      </w:r>
    </w:p>
    <w:p>
      <w:r>
        <w:rPr>
          <w:b/>
        </w:rPr>
        <w:t>E. 4</w:t>
      </w:r>
    </w:p>
    <w:p>
      <w:r>
        <w:t>a) En l'espèce, le recourant a exercé deux activités lucratives à mi-temps jusqu'à fin août 2000, date à laquelle l'un de ses employeurs a mis fin aux rapports de travail. Il s'est retrouvé ainsi dans la même situation que celui qui passe d'une activité à temps complet à un mi-temps. Or, une telle situation ne justifie pas selon la jurisprudence, comme on l'a vu ci-dessus (supra consid. 3c), une taxation intermédiaire. Le recourant invoque certes l'avis de River qui soutient que "si un contribuable exerce plusieurs activités qui ont la même importance et qu'il renonce à l'une d'entre elles, on considère qu'il y a fin de l'activité lucrative à moins qu'il n'entreprenne une nouvelle activité qui remplace celle qu'il a abandonnée ou qu'il poursuive une activité complète" (Jean-Marc Rivier, Droit fiscal suisse, L'imposition du revenu et de la fortune, 2 ème éd., Lausanne 1998, p. 472). Une telle opinion n'est toutefois pas en accord avec la jurisprudence précitée. On ne voit d'ailleurs pas pour quel motif le contribuable qui cesse l'une de ses deux activités lucratives à mi-temps serait traité différemment de celui qui passe d'une activité à temps complet à un mi-temps. Dès lors, à cet égard, le recourant ne réalise pas les conditions des art. 80 LI et 45 LIFD. Il ne peut par ailleurs pas se prévaloir des conditions plus souples de la directive "passage à la taxation annuelle", puisque la réduction du taux d'activité n'est pas intervenue durant la brèche de calcul. b) Le recourant invoque toutefois une situation particulière: la cessation de ses fonctions au service de la maison de retraite - expose-t-il – impliquait effectivement une réduction de moitié du taux d’activité, mais a provoqué une baisse de ses revenus de 65% par rapport aux gains de 1997 et de 43% par rapport à ceux de 1998 (plus précisément de 54% si l’on compare la moyenne des deux périodes fiscales en cause selon les chiffres exposés ci-dessous). Période fiscale 1999-2000 Revenus déclarés – DI du 30 novembre 1999 1997 1998 Revenus nets (ch. 1a): - Régie: 82'111 91'913 - EMS: 90'701 91'935 Allocations non comprises dans le certificat de salaire - - ch. 1b: 2'400 2'405 - complément EMS: 130'000 120'000 305'212 306'253 Période fiscale 2001-2002 Revenus déclarés – DI du 16 mai 2001, après corrections de l'Office d'impôt 1999 2000 Revenus déclarés: - Revenus nets (ch. 1a), Régie: 86'678 90'315 - Allocations (ch. 1b): 2'250 2'250 Selon taxation corrigée: + Revenus nets, EMS: 94'400 58'720 183'328 151'285 On rappellera à cet égard qu’une taxation intermédiaire ne peut intervenir que lorsque les bases de l'activité lucrative ont subi une modification non seulement durable, mais aussi essentielle, soit que le montant du revenu total de l'activité se modifie de façon importante (ATF 110 I b 313 consid. 2d) à la suite du début ou de la cessation de l'activité lucrative ou d'un changement de profession (cf supra, consid. 3c in fine). On est en présence d’une modification structurelle profonde de la situation professionnelle dans son ensemble, notamment lorsque le contribuable met un terme à son activité professionnelle principale (ATF 2C_63/2008 du 22 mai 2008, consid. 3.2 in fine). Dans ce dernier cas d'espèce, le recourant - un indépendant - avait fortement réduit son activité; son chiffre d'affaires ne représentait plus qu'environ 20% de celui des années précédentes et son bénéfice avait baissé de plus de 95%. Le Tribunal fédéral a dès lors admis la taxation intermédiaire, au motif que la modification du revenu du recourant apparaissait essentielle et que son bénéfice était devenu accessoire par comparaison à celui qu'il obtenait précédemment (ATF 2C_63/2008 du 22 mai 2008, consid. 4.2; voir en outre Tribunal administratif, FI.2007.0087 du 6 décembre 2007). Dans la présente espèce, on ne se trouve pas dans une situation où la réduction du taux d'activité s'accompagne d'une baisse du revenu d'une telle ampleur qu'elle permette de retenir une modification structurelle profonde de la situation professionnelle. c) C'est dès lors à juste titre que l'ACI a refusé de procéder à une taxation intermédiaire au 1 er octobre 2000. C'est également à raison que l'autorité intimée a ajouté pour la période fiscale 2001-2002 aux revenus des recourants les salaires versés en 1999 et 2000 par la Maison de retraite de Z.________. Les art. 81 al. 4 LI et 46 al. 4 LIFD - qui disposent que "lors de la taxation suivante, les éléments qui ont été exclus du revenu ensuite de la taxation intermédiaire ne sont plus pris en considération" - ne sont en effet pas applicables en l'espèce, puisque les conditions pour bénéficier d'une taxation intermédiaire lors de la période 1999-2000 ne sont comme on l'a vu pas réalisées.</w:t>
      </w:r>
    </w:p>
    <w:p>
      <w:r>
        <w:rPr>
          <w:b/>
        </w:rPr>
        <w:t>E. 5</w:t>
      </w:r>
    </w:p>
    <w:p>
      <w:r>
        <w:t>Les considérants qui précèdent conduisent au rejet du recours et à la confirmation de la décision attaquée. Les recourants, qui succombent, supporteront les frais de justice fixés à 3'000 fr., soit 2000 fr. pour l’impôt cantonal et communal et 1000 fr. pour l’impôt fédéral direct.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