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FI.2007.0130 vom 23. Mai 2008</w:t>
      </w:r>
    </w:p>
    <w:p>
      <w:r>
        <w:t>VD Tribunal cantonal, 2008-05-23, FR</w:t>
      </w:r>
    </w:p>
    <w:p>
      <w:r>
        <w:rPr>
          <w:b/>
        </w:rPr>
        <w:t xml:space="preserve">Quelle: </w:t>
      </w:r>
      <w:r>
        <w:t>https://mcp.opencaselaw.ch/entscheid/vd_omni_FI.2007.0130</w:t>
      </w:r>
    </w:p>
    <w:p>
      <w:r>
        <w:t>FR: VD_OMNI FI.2007.0130 du 23 mai 2008</w:t>
      </w:r>
    </w:p>
    <w:p>
      <w:r>
        <w:t>IT: VD_OMNI FI.2007.0130 del 23 maggio 2008</w:t>
      </w:r>
    </w:p>
    <w:p>
      <w:pPr>
        <w:pStyle w:val="Heading2"/>
      </w:pPr>
      <w:r>
        <w:t>Regeste</w:t>
      </w:r>
    </w:p>
    <w:p>
      <w:r>
        <w:t>X.________ c/Département de l'économie | La taxe sur la vente au détail de boissons alcooliques répond à un intérêt public suffisant, lié à la lutte contre la surconsommation d'alcool, chez les jeunes en particulier. Elle est conforme au principe de proportionnalité en ce qu'elle représente, par l'augmentation du prix de l'alcool au détail en résultant, une mesure incitative dont l'objectif est de parvenir à terme à une diminution de la consommation chez certaines catégories de la population.</w:t>
      </w:r>
    </w:p>
    <w:p>
      <w:pPr>
        <w:pStyle w:val="Heading2"/>
      </w:pPr>
      <w:r>
        <w:t>Erwägungen</w:t>
      </w:r>
    </w:p>
    <w:p>
      <w:r>
        <w:rPr>
          <w:b/>
        </w:rPr>
        <w:t>E. 1</w:t>
      </w:r>
    </w:p>
    <w:p>
      <w:r>
        <w:t>La PCC semble soutenir, de manière implicite, que les dispositions litigieuses n¿ayant pas fait l¿objet d¿une requête à la Cour constitutionnelle, elles seraient, partant, soustraites à l¿examen de leur constitutionnalité par le Tribunal cantonal. a) La Cour constitutionnelle contrôle la conformité des normes cantonales au droit supérieur (art. 136 let. a Cst/VD). Ce contrôle, de nature abstraite, porte notamment sur les lois et décrets du Grand Conseil, ainsi que sur les règlements du Conseil d¿Etat (art.</w:t>
      </w:r>
    </w:p>
    <w:p>
      <w:r>
        <w:rPr>
          <w:b/>
        </w:rPr>
        <w:t>E. 3</w:t>
      </w:r>
    </w:p>
    <w:p>
      <w:r>
        <w:t>a) L es cantons sont souverains en tant que leur souveraineté n¿est pas limitée par la Constitution fédérale et qu'ils exercent tous les droits qui ne sont pas délégués à la Confédération (art. 3 Cst.). Sous réserve des compétences fiscales propres de la Confédération (art. 134 Cst.) et dans le respect des droits et principes généraux constitutionnels (art. 127 Cst.), les cantons peuvent prélever des impôts spéciaux ( Xavier Oberson/Pierre-Alain Guillaume, Le régime financier dans le droit constitutionnel des cantons, in: Daniel Thürer/Jean-François Aubert/Jörg Paul Müller [ed.], Verfassungsrecht der Schweiz, Zurich 2001, ch. 16, p. 1229). Cette compétence n¿est pas exclue du seul fait que la nouvelle Constitution fédérale ne prévoit plus expressément la possibilité pour les cantons de percevoir des impôts professionnels, comme c'était encore le cas sous l¿empire de l'art. 31 al. 2 aCst. ( ATF 128 I 102 consid. 5 p. 110/111). b) L a législation sur la fabrication, l¿importation, la rectification et la vente de l¿alcool obtenu par distillation relève de la compétence de la Confédération, laquelle tient compte en particulier des effets nocifs de la consommation d¿alcool (art. 105 et 131 al. 1 let. b Cst.). Cette compétence exclusive (Marc D. Veit, Commentaire saint-gallois, N.3 ad art. 105 Cst.) a été concrétisée par la loi fédérale du 21 juin 1932 sur l¿alcool (LAlc; RS 680). Celle-ci vise les boissons distillées, soit celles dont la teneur en alcool dépasse 15º (art. 2 al. 2 LAlc). L'art. 41a LAlc, issu de la novelle du 19 décembre 1980, prévoit que l'exercice du commerce de détail de boissons distillées dans les limites du canton est subordonné à une patente délivrée par l'autorité cantonale compétente (al. 1); il s'applique notamment aux commerces de vins et de spiritueux, ainsi qu¿à ceux offrant un large assortiment de denrées alimentaires qui comprend également des boissons sans alcool (al. 3). Les cantons perçoivent pour la patente de commerce de détail une redevance dont le montant est déterminé d'après le genre et l'importance de l'exploitation (art. 41a al. 6 LAlc). Cette disposition vise à obliger les ca ntons à soumettre le commerce de détail et le débit de boissons distillées au paiement d'un droit, échelonné non seulement d¿après le résultat de l¿exploitation, mais en tenant aussi compte, de manière spécifique, des systèmes particuliers d'activité commerciale, selon leur importance, leur structure et leur genre de clientèle; on attendait des cantons qu'ils s'adaptent aux habitudes nouvelles du marché (Message du Conseil fédéral du 11 décembre 1978, FF 1979 I p. 57 et ss, p. 102), caractérisé notamment par l'émergence de libres-services, de discounts et supermarchés (Message précité, p. 63). En introduisant ce critère, le législateur fédéral a donné aux cantons une plus grande liberté d¿imposer les diverses catégories d¿exploitation (Message précité, p. 96). Le prélèvement de redevances de patentes périodiques sur le commerce de détail correspond par conséquent aux intentions du législateur fédéral (ATF 2P.316/2004 du 31 octobre 2005 consid. 4.6). Il suit de là que l¿art. 41a LAlc constitue une base légale claire permettant aux cantons d¿imposer le débit et le commerce de détail des boissons distillées dans les limites de leur territoire (Message précité, p. 98). Hormis les boissons distillées, la Confédération peut également percevoir un impôt sur la bière (art. 131 al. 1 let. c Cst.). Cet impôt, qui fait l¿objet de l¿arrêté du Conseil fédéral du 4 août 1934 concernant un impôt fédéral sur les boissons (RS 641.411) frappe les premières transactions commerciales ¿ par quoi on entend soit l¿importation, soit la cession à un tiers dans un but lucratif, notamment la vente (art. 1 et 2 de l¿arrêté fédéral). Sa perception, selon les modalités spéciales qu¿il prévoit, n¿empêche pas les cantons de soumettre le débit ultérieur de bière à un impôt spécial complémentaire. Pour le surplus, il n¿est pas contesté que les cantons sont libres de percevoir des impôts spéciaux sur les autres boissons alcooliques fermentées (et non distillées), qui échappent aussi bien à la LAlc qu¿à l¿arrêté fédéral de 1934. En l¿occurrence, sous l¿étiquette générique de boissons alcooliques, la LADB s¿applique aussi bien aux boissons fermentées que distillées. La taxe qu¿elle prévoit, selon les art. 53ss LADB, ne heurte pas, en tant que telle, la répartition des compétences fiscales entre la Confédération et les cantons.</w:t>
      </w:r>
    </w:p>
    <w:p>
      <w:r>
        <w:rPr>
          <w:b/>
        </w:rPr>
        <w:t>E. 4</w:t>
      </w:r>
    </w:p>
    <w:p>
      <w:r>
        <w:t>a) Les principes généraux régissant le régime fiscal, notamment la qualité de contribuable, l¿objet de l¿impôt et son mode de calcul, sont définis par la loi (art. 127 al. 1 Cst.,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132 I 157 consid. 2.2 p. 159; 132 II 371 consid. 2.1 p. 374; 131 II 271 consid. 6.1 p. 278, 562 consid. 3 p. 565,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La taxe litigieuse est un impôt spécial sur l¿activité économique, et non point une taxe causale, dès lors qu¿elle est due indépendamment d¿une contre-prestation étatique (ATF 131 II 271 consid. 5.1 p. 276; 128 I 102 consid. 4b p. 107/108; 2P.136/2001, précité; 2P.8/2001 du 18 juin 2002, consid. 3.3, et les arrêts cités). Son principe est fixé dans une loi au sens formel, soit l¿art. 53e LADB, qui détermine également, de manière précise, le cercle des contribuables (soit les titulaires des autorisations simples de débit de boissons alcooliques à l¿emporter), ainsi que le taux de la taxe (soit 0,8% du chiffre d'affaires moyen réalisé sur les boissons alcooliques au cours des deux années précédentes, art. 53e al. 2 LADB), laquelle est perçue annuellement et ne peut être inférieure à 100 francs par an (art. 53e al. 3 LADB). La recourante objecte à cela que la loi ne fixerait pas le montant maximum à payer. L¿impôt est calculé en fonction de la capacité contributive, dans la mesure où sa nature le permet (art. 127 al. 2 Cst. et 167 al. 2 Cst./VD; sur cette notion, cf. ATF 133 I 206 consid. 6.1 et 6.2 p. 216/217, consid. 7 p. 217-222). La taxe litigieuse visant à imposer le débit de boissons alcooliques à l'emporter en fonction de l¿intensité de l¿utilisation de ce moyen pour se procurer de l¿alcool, il n¿y a rien à redire au fait que la taxe soit calculée selon le chiffre d'affaires des établissements concernés (cf. sur ce point Marcel Mangisch, Die Gastwirtschaftgesetzgebung der Kantone im Verhältnis zur Handels- und Gewerbefreiheit, Berne 1982, p. 211). Cette règle répond au demeurant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 (ATF 2P.136/2001, précité, consid. 3). c) L¿exigence de la base légale est ainsi respectée.</w:t>
      </w:r>
    </w:p>
    <w:p>
      <w:r>
        <w:rPr>
          <w:b/>
        </w:rPr>
        <w:t>E. 5</w:t>
      </w:r>
    </w:p>
    <w:p>
      <w:r>
        <w:t>a) Le prélèvement d'un impôt spécial sur l'activité économique est admissible s'il est justifié par des motifs objectifs ou des motifs d'intérêt général, dont la reconnaissance ne doit pas être soumise à des critères trop rigoureux (ATF 2P.136/2001, précité, consid. 2.4, et les références citées). b) La révision de la LADB, du 26 octobre 2006, a été adoptée à la suite d¿un rapport du Conseil d¿Etat de septembre 2006 sur la démarche DEFI 2007, laquelle devait rapporter à l¿Etat 60 millions de francs. Parmi ces mesures, il a été proposé au Grand Conseil de réintroduire le système de taxes de licences d¿exploitation d¿établissements permettant le logement, la restauration et le débit de boissons par la modification de la LADB (n° 419). Il ressort des travaux du législateur que cette mesure devait augmenter le budget annuel d¿une recette supplémentaire de l¿ordre de 1'500'000 fr., afin de concourir au renflouement des caisses de l¿Etat. Ce n¿est que dans la réponse au recours qu¿a été allégué, pour la première fois, que la taxe litigieuse reposerait sur d¿autres motifs, notamment de santé publique, liés à la lutte contre l¿alcoolisme, des jeunes en particulier. La recourante s¿insurge contre ce procédé. Dans sa réplique du 30 janvier 2008, elle expose que dès l¿instant où le législateur a fondé la révision de 2006 sur des  raisons exclusivement fiscales, il ne serait plus possible de justifier la mesure contestée par d¿autres motifs, sauf à réinterpréter après coup la volonté du législateur, ce qui ne serait pas admissible. Cette argumentation n¿est pas dénuée de poids. Toutefois, il convient de garder à l¿esprit que la révision du 26 octobre 2006 s¿inscrit dans le cadre général de la LADB, qu¿elle complète. Or, cette loi a notamment pour but, selon son art. 1 er al. 1, de contribuer à l¿ordre et à tranquilité publics (let. b), ainsi qu¿à la protection des consommateurs et à la vie sociale (let. d). Elle prend ainsi en compte, dans ses objectifs, la nécessité de lutter contre la consommation excessive d¿alcool (cf. consid. 5c ci-dessous). c) L¿autorité intimée a produit, à l¿appui de ses écritures, plusieurs études de l¿Institut suisse pour la prévention de l¿alcoolisme (ci-après: l¿ISPA) et de l¿Office fédéral de la santé publique (ci-après: l¿OFSP), ayant trait à la consommation d¿alcool en Suisse. Le résultat de ces enquêtes est constrasté puisque, prise de manière globale, la consommation tend à diminuer ces dernières années. Au demeurant, 80% des consommateurs ne rencontrent aucun problème notable avec l¿alcool. Il n¿en demeure pas moins que, selon ces études, un million environ de personnes consomment de l¿alcool d¿une manière nuisible pour leur santé. Ainsi, sur une année, une part de 11% de la population ingère la moitié de la quantité totale d¿alcool consommée en Suisse. L¿enquête met notamment l¿accent sur la pratique des jeunes gens en la matière. L¿ISPA relève ainsi qu¿en 2004, u n écolier sur quatre et une écolière sur six consommait de l¿alcool chaque semaine. La proportion de jeunes de quinze ans déclarant au moins deux ivresses hebdomadaires est en constante augmentation. En 2003, l¿OFSP a constaté que trois à quatre adolescents ou jeunes adultes en moyenne étaient dirigés chaque jour vers un hôpital en raison d¿un diagnostic lié à l¿alcool. Le plus souvent, l¿alcool est consommé en quantité excessive lors de fêtes et autres réunions (phénomène social dit du «binge drinking», consistant à boire une grande quantité d¿alcool dans un court laps de temps). Dans 30% des cas, les adolescents parviennent à se procurer de l¿alcool auprès des magasins, des supermarchés et des kiosques. Sans doute, la fréquentation des bars et autres cafés-restaurants est loin d¿être négligeable, mais c¿est avant tout vers la grande distribution et le commerce de détail que se tournent en règle générale les jeunes gens, essentiellement pour des raisons de coût de l¿approvisionnement. L¿OFSP a estimé à environ 6,5 milliards de francs par an les coûts sociaux liés à l¿alcoolodépendance à charge de la collectivité publique (thérapies, traitements médicaux, dommages causés par des accidents, pertes d¿emploi et de productivité, etc.), ceci sans tenir compte des frais générés par la consommation problématique, par la baisse de performances des consommateurs à risques ou par les dégâts causés par les violences exercées sous l¿influence de l¿alcool. Ainsi, le choix du législateur de lever un impôt spécial sur la vente au détail de boissons alcooliques pour financer tout ou partie des coûts induits par leur consommation excessive s¿inscrit dans les buts poursuivis par la LADB. Une contribution similaire est du reste perçue, comme l¿a rappelé le Conseil d¿Etat dans l¿exposé des motifs, dans les cantons de Fribourg (art. 28 de la l oi du 25 septembre 1997 sur l¿exercice du commerce, RS/FR 940.1) et du Valais (art. 25 de la l oi du 8 avril 2004 sur l'hébergement, la restauration et le commerce de détail de boissons alcoolisées, RS/VS 935.3). Ces deux cantons perçoivent en effet une taxe d¿exploitation annuelle de 1% du chiffre d¿affaires réalisés sur la vente au détail de boissons alcooliques. Il ne fait dès lors aucun doute que la taxe litigieuse répond à un intérêt public suffisant, lié à la lutte contre la surconsommation d¿alcool, chez les jeunes en particulier. Elle concourt en particulier à l¿efficacité du train de mesures adopté par l¿OFSP dans le cadre du « Programme National Alcool 2008-2012 » (ci-après : PNA). L¿un des objectifs poursuivi par cet ambitieux projet est de réduire, dans une proportion importante, la consommation notamment chez les adolescents et les jeunes adultes. Répercutée sur le prix des boissons alcooliques, la taxe litigieuse poursuit un objectif de dissuasion, lié à une augmentation généralisée du prix des boissons alcooliques vendues au détail. Elle vise également à financer les coûts induits par l¿addiction à l¿alcool et les conséquences engendrées par une consommation excessive. Les cantons et les communes doivent assurer ou libérer les moyens nécessaires pour assumer leurs tâches dans le domaine de la politique en matière d¿alcool (v. annexe PNA, ch. 2.9) et investir des moyens financiers dans des projets allant dans le sens de ce programme de mesures (ibid.). d) Selon le principe de la proportionnalité, une mesure  restrictive doit être apte à produire les résultats escomptés (règle de l¿aptitude), qui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Le PNA souligne (pp. 25-26) certaines faiblesses de la politique publique actuelle en matière d¿alcool, parmi lesquelles la libéralisation du marché. Constituent à cet égard un risque pour la prévention la poursuite de la dérégulation des marchés, la pression croissante sur les prix des boissons alcooliques et la disponibilité permanente de celles-ci. Sans doute, la loi prévoit-elle l¿interdiction de la vente au détail d¿alcool aux mineurs âgés de moins de seize ans (art. 50 al. 1 let. b LADB) et, s¿agissant de boissons alcooliques distillées, aux mineurs âgés de moins de dix-huit ans (art. 50 al. 1 let. c et 41 al. 1 let. i LAlc ). Ces règles sont cependant faciles à contourner, soit parce que les exploitants d¿établissements publics et de débits d¿alcool ne procèdent pas aux contrôles avec toute la rigueur voulue, soit parce qu¿un majeur se charge du ravitaillement pour des mineurs. C¿est la raison pour laquelle, afin d¿atteindre le but escompté, l¿OFSP préconise, entre autres mesures, une augmentation du prix de l¿alcool, y compris par l¿introduction de taxes (PNA, p. 36). La taxe d¿exploitation entraîne une augmentation des prix des boissons alcoolisées au détail. Elle représente une mesure incitative dont l¿objectif est de parvenir à terme à une diminution de la consommation chez certaines catégories de la population. Il est intéressant à cet égard de noter que les enquêtes précitées ont révélé que la consommation des «alcoolpops», boisson alcoolisée favorite des jeunes gens après la bière, était en nette diminution depuis l¿introduction d¿une nouvelle taxe sur ces boissons dès 2004 et l¿augmentation du prix qui en a résulté. Il y a donc lieu d¿admettre que la contribution litigieuse est propre à atteindre le but qu¿elle s¿est fixé. Quant au financement des coûts sociaux induits par la consommation d¿alcool, la contribution litigieuse est idoine pour la réalisation de ce but qu¿elle poursuit également.</w:t>
      </w:r>
    </w:p>
    <w:p>
      <w:r>
        <w:rPr>
          <w:b/>
        </w:rPr>
        <w:t>E. 6</w:t>
      </w:r>
    </w:p>
    <w:p>
      <w:r>
        <w:t>a)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231;125 I 322 consid. 3a p. 326, 335 consid. 2a p. 337, et les arrêts cités).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 En l'espèce, les conditions de la base légale, de l¿intérêt public et de la proportionnalité sont remplies (consid. 4 et 5 ci-dessus). La recourant e ne prétend pas que les taxes li tigieuses seraient prohibitives ou poursuivraient des buts protectionnistes. Elle se plaint en revanche d¿une inégalité de traitement par rapport aux cafés-restaurants et autres débits de boissons. Elle fait valoir à cet égard une discrimination du fait que, par la réintroduction des taxes de licences d¿exploitation découlant de la révision de la LADB du 24 octobre 2006, seule la vente de boissons alcooliques au détail et à l¿emporter est désormais imposée, puisque la taxe annuelle de patente des établissements publics, abrogée depuis l¿adoption de la loi du 26 mars 2002, n¿a, quant à elle, pas été rétablie. aa)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bb) La taxe annuelle de patente pour les établissements publics, qui existait dans la LADB de 1984, a été supprimée lors de l¿adoption de la nouvelle LADB en 2002. Dans l¿exposé des motifs proposant une nouvelle loi sur les auberges et débits de boissons, le Conseil d'Etat admettait lui-même que la taxe de patente de l'art. 43 aLADB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BGC janvier 2002, p. 7740 et ss, not. 7743). Depuis lors, l¿ouverture d¿établissements publics entraîne le paiement d¿un émolument de délivrance de licence de 500 francs (art. 54 LADB et 16 RE-LADB), 300 francs au renouvellement de celle-ci (art. 18 RE-LADB) et leur exploitation, un émolument de surveillance de 100 à 1000 francs (art. 55 LADB et 20 RE-LADB), auquel peuvent s¿ajouter des frais supplémentaires d¿intervention (art. 21 RE-LADB). A l¿instar des débits de boissons alcooliques, les établissements publics sont en outre astreints à une contribution à la fondation de formation professionnelle (art. 56 LADB; 25 et 26 RE-LADB). La différence de traitement, entre les deux catégories d¿autorisation, est claire, puisque les commerces au bénéfice d'une autorisation simple de débit de boissons alcooliques à l'emporter paient une contribution annuelle fixée en pourcentage de leur chiffre d¿affaires sur la vente de boissons alcooliques, qui n¿est pas mise à la charge des exploitants d¿établissements publics. cc) A première vue, les deux types d¿activité, portant sur la vente de boissons alcooliques, sont similaires. Elles comportent toutefois des différences importantes. Les bars, cafés-restaurants et les établissements assimilés reçoivent les clients dans leurs locaux pour leur proposer le service des mets et de la boisson, la remise d¿alcool à l¿emporter n¿étant qu¿accessoire (cf. art. 11 al. 2 et 12 al. 2 LADB). Les commerces vendent l¿alcool à l¿emporter, ne servent pas de mets, et n¿accueillent pas les clients. Leur assortiment est en outre très divers. Les motifs pour lesquels les clients consomment de l¿alcool dans un établissement public ou s¿approvisionnent dans un commerce sont également fondamentalement différents. Le client d¿un café ou d¿un restaurant consomme de l¿alcool soit en accompagnement du repas, soit en partage d¿un moment de convivialité entre amis ou habitués, soit solitairement, le temps de lire le journal ou de regarder le temps passer, par exemple. L¿essentiel, de ce point de vue, est de se trouver dans un lieu public, de bénéficier de l¿animation qui y règne et d¿avoir l¿occasion d¿y rencontrer des gens. Le client qui va acheter de l¿alcool dans un commerce est animé par un simple besoin de ravitaillement. Il emporte l¿alcool dans un lieu propice à la consommation, solitaire ou collective, interdite sur place. Ces différences se répercutent sur le prix de l¿alcool. Pour les cafés, bars et restaurants, une partie importante de la marge se réalise sur la vente de l¿alcool. Cela est indispensable notamment pour supporter les charges liées au personnel assurant le service. Les commerces vendant de l¿alcool à l¿emporter (particulièrement, comme en l¿espèce, ceux disposant de grandes surfaces de vente) ne sont pas soumis aux mêmes contraintes. La charge de personnel se limite à l¿achalandage, à l¿entretien, à la surveillance et à l¿encaissement du prix. Les établissements publics et les commerces ne sont ainsi pas des concurrents directs, au sens de la jurisprudence qui vient d¿être rappelée, car ils ne fournissent pas les mêmes prestations. Du point de vue de l¿objectif de santé publique poursuivi par la taxe litigieuse (soit la lutte contre l¿alcoolisme, en particulier chez les jeunes), la différence de traitement entre les établissements publics et les commerces se justifie. En effet, même si les bars, cafés et restaurants restent des lieux où une certaine frange de la clientèle peut s¿adonner excessivement à la boisson, les nouvelles tendances relevées par l¿ISPA et l¿OFSP vont dans le sens d¿un développement de la surconsommation d¿alcool dans le cadre privé ou semi-privé (lors de fêtes, notamment), voire directement sur le domaine public. Cela s¿explique non seulement par un changement dans les habitudes d¿une partie de la population, spécialement les jeunes, mais aussi par une question de prix. A quantité et qualité égales, le vin, le cidre, la bière et les alcools forts seront toujours plus chers dans les établissements publics (qui en tirent une part souvent importante de leur chiffre d¿affaires) que dans le commerce de détail. dd) C¿est en vain que la recourante se prévaut dans ce contexte de l¿ATF 2P.136/2001, précité. Dans cette affaire, le Tribunal fédéral avait à examiner, après le Tribunal administratif, la constitutionnalité du règlement du 29 octobre 1997 fixant le barème de taxation des établissements publics, conformément à l¿art. 43 aLADB. A cette occasion, le Tribunal fédéral avait considéré que l¿impôt spécial découlant de cette disposition ne heurtait pas le principe d¿égalité et n¿était pas arbitraire, au motif que la consommation d¿alcool dans les établissements publics accroît le risque de conduite en état d¿ébriété; elle engendre en outre des troubles à l¿ordre public (problème de bruit, de stationnement et de circulation). Ces considérations liées à la sécurité publique restent actuelles. Elles ne changent rien à l¿appréciation des motifs de santé publique justifiant la taxe litigieuse. A cela s¿ajoute que sous l¿empire de l¿aLADB dans sa teneur du 11 décembre 1984, la vente d¿alcool à l¿emporter était également soumise à une taxe, analogue à celle que conteste la recourante. ee) Le moyen tiré de l¿égalité de traitement est ainsi mal fondé.</w:t>
      </w:r>
    </w:p>
    <w:p>
      <w:r>
        <w:rPr>
          <w:b/>
        </w:rPr>
        <w:t>E. 7</w:t>
      </w:r>
    </w:p>
    <w:p>
      <w:r>
        <w:t>Le recours doit ainsi être rejeté et la décision attaquée confirmée.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