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FI.2007.0116 vom 28. Juli 2008</w:t>
      </w:r>
    </w:p>
    <w:p>
      <w:r>
        <w:t>VD Tribunal cantonal, 2008-07-28, FR</w:t>
      </w:r>
    </w:p>
    <w:p>
      <w:r>
        <w:rPr>
          <w:b/>
        </w:rPr>
        <w:t xml:space="preserve">Quelle: </w:t>
      </w:r>
      <w:r>
        <w:t>https://mcp.opencaselaw.ch/entscheid/vd_omni_FI.2007.0116</w:t>
      </w:r>
    </w:p>
    <w:p>
      <w:r>
        <w:t>FR: VD_OMNI FI.2007.0116 du 28 juillet 2008</w:t>
      </w:r>
    </w:p>
    <w:p>
      <w:r>
        <w:t>IT: VD_OMNI FI.2007.0116 del 28 luglio 2008</w:t>
      </w:r>
    </w:p>
    <w:p>
      <w:pPr>
        <w:pStyle w:val="Heading2"/>
      </w:pPr>
      <w:r>
        <w:t>Regeste</w:t>
      </w:r>
    </w:p>
    <w:p>
      <w:r>
        <w:t>X.________ c/Administration cantonale des impôts | Administrateur d'une SA qui, par promesse de vente, acquiert un droit d'emption en lieu et place de la société, droit auquel il renonce six mois plus tard, celle-ci ayant conclu entre-temps des contrats d'entreprise avec les acheteurs des parts de la PPE constituée sur l'immeuble. Cette renonciation n'est pas intervenue à titre gratuit, dès lors que cet administrateur était, à l'époque, directement intéressé au bénéfice résultant de l'opération immobilière. Cela ressort d'une convention sous seing privé conclue entre les courtiers mandatés par les vendeurs, d'une part, la société et lui-même, d'autre part. Refus d'exonération du droit de mutation confirmé.</w:t>
      </w:r>
    </w:p>
    <w:p>
      <w:pPr>
        <w:pStyle w:val="Heading2"/>
      </w:pPr>
      <w:r>
        <w:t>Erwägungen</w:t>
      </w:r>
    </w:p>
    <w:p>
      <w:r>
        <w:rPr>
          <w:b/>
        </w:rPr>
        <w:t>E. 1</w:t>
      </w:r>
    </w:p>
    <w:p>
      <w:r>
        <w:t>Le recourant conteste l¿imposition de sa renonciation au droit d¿acquérir les parcelles nos 12.******** et 16.******** de 13.********. Il fait valoir que cette renonciation est intervenue à titre gratuit, dès lors qu¿il ne détient pas la majorité du capital-actions d¿2X.******** SA dont il était administrateur unique à l¿époque des faits. Il soutient n¿avoir reçu aucune contre-prestation en contrepartie de sa renonciation.</w:t>
      </w:r>
    </w:p>
    <w:p>
      <w:r>
        <w:rPr>
          <w:b/>
        </w:rPr>
        <w:t>E. 2</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note 1 ; Richner/Frei/Kaufmann/Meuter, Kommentar zum harmonisierten Zürcher Steuergesetz, Zurich 2006, remarques préliminaires aux articles 227-223, n° 1, p. 1736). a) A teneur de l'art. 2 al. 1 de la loi du 27 février 1963 concernant le droit de mutation sur les transferts immobiliers et l'impôt sur les successions et donations (LMSD ; RSV 648.11),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FI.1993.0099 du 28 décembre 1993; FI.1993.0134 du 27 juin 1994; FI.1994.0115 du 16 juin 1995) ont précisé à réitérées reprises qu'il s'agissait d'un impôt formel frappant toute opération conclue qui réunit les deux conditions précitées. aa) Dans l'arrêt FI.1995.0075 du 10 janvier 1996 (publié in RDAF 1996, 96), le Tribunal administratif a rappelé que l'imposition du transfert juridique était la règle, tandis que celle du transfert du point de vue économique demeurait l'exception. D'après la jurisprudence, la forme juridique des relations d'où provient la matière imposable n'est pas nécessairement décisive du point de vue fiscal. A certaines conditions, l'autorité peut se fonder au contraire sur la réalité économique. Or, dans la LMSD, i l n'y a place pour la réalité économique découlant d'une opération de transfert que dans le strict cadre des opérations définies à l'art. 2 al. 2, disposition dont on rappelle ici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l¿article 2 al. 2 LMSD ne restitue pas le sens véritable de la disposition voulue par le législateur (v. ATF 2P.31/1999 du 20 avril 1999, consid. 5b, in RDAF 1999 II 516) . Les cas d¿espèce doivent être analysés à la lumière des travaux préparatoires de la loi vaudoise.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 cession, au sens large, du droit d'acquérir un immeuble fait partie des actes qualifiés de transfert au sens économique et est assimilée dans une certaine mesure à un transfert immobilier générant le droit de mutation.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 FI.1997.0116 du 14 mai 1998; FI.1997.0015 du 30 juin 1998; v. également, CCRI, arrêt FI 90/01 du 7 février 1991). cc) 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de l'ACI à l'Association des notaires vaudois, du 15 octobre 1975 ; pour un cas de renonciation à titre onéreux, cf. arrêt FI.2004.0198 du 15 décembre 2004).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Aussi, le Tribunal administratif, dans les arrêts 2001.0001 du 23 avril 2001, FI.1997.0015, déjà cité, et FI.1996.0026 du 30 juin 1998, avait estimé que les cédants avaient rapporté la preuve qu'ils agissaient, lors de la signature de la promesse de vente déjà,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FI.2001.0001, déjà cité). Dans les trois arrêts précités, le tribunal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L¿exonération n¿interviendra en revanche pas lorsque cette renonciation intervient à titre onéreux (art. 2 al. 2, deuxième phrase, LMSD).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b) Quant au débiteur du droit, il est défini par l'art. 4 LMSD, disposition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 article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celle-ci d'exercer une action récursoire contre le ou les autres cocontractants, codébiteurs (v. arrêts FI.1998.0087, déjà cité; FI.1995.0045 du 1 er juillet 1997).</w:t>
      </w:r>
    </w:p>
    <w:p>
      <w:r>
        <w:rPr>
          <w:b/>
        </w:rPr>
        <w:t>E. 3</w:t>
      </w:r>
    </w:p>
    <w:p>
      <w:r>
        <w:t>En l'espèce, le recourant et les vendeurs sont convenus d'annuler une promesse de vente intervenue cinq mois auparavant. Aucune cession du droit d'acquérir n¿a été prévue en faveur de tiers. Demeure cependant une renonciation à ce droit, dont il faut rechercher si elle est intervenue avec ou sans contre-prestation. Pour l¿essentiel, le recourant met en avant le fait qu¿il n¿a, personnellement, rien perçu en contrepartie de sa renonciation à acquérir les parcelles nos 11.******** et 12.********. Cette démonstration n¿est cependant pas suffisante pour que l¿on puisse retenir en l¿occurrence une renonciation intervenue à titre gratuit. Il importe en effet de prendre en considération l¿ensemble de l¿opération non pas sous une approche purement formelle mais bien sous l¿angle de la réalité économique. a) Sur ce plan, l¿acte notarié du 14 juin 2004 intervient dans un contexte bien particulier puisqu¿il fait suite à des accords préalablement conclus entre les représentants des consorts CDX.________ et 2.********. Pour obtenir un prix intéressant, les consorts CDX.________ étaient désireux de vendre leur immeuble après sa mise en valeur. A cette fin, n¿étant pas des professionnels de l¿immobilier, ils ont mandaté E.________, lequel a obtenu l¿autorisation d¿y réaliser trois bâtiments. Après avoir reçu plusieurs offres, ce dernier a retenu celle d¿2.******** qu¿il a approchée afin de concrétiser ce projet. Contrairement aux explications du recourant, la convention du 19 mai 2003 n¿a pas pour but de distribuer en quelque sorte les rôles respectifs de chaque partie. Il ressort en effet du préambule que le mandat de courtage avait préalablement été confié à F.________ par les consorts CDX.________, tout comme ceux-ci ont attribué à 2.******** le contrat d¿entreprise générale. Cette convention définit en revanche la rémunération des différents intervenants puisque E.________ et F.________, d¿une part, 2.******** et le recourant, d¿autre part, sont convenus de se partager par moitié le bénéfice final de l¿opération. C¿est dans ce contexte qu¿une PPE, divisée en trente lots distincts, a été constituée sur ces deux parcelles. Les consorts CDX.________ et 2.******** sont alors convenus de ce que les acheteurs concluent avec cette dernière un contrat d¿entreprise générale pour la construction des villas, simultanément à la conclusion du contrat de vente des lots de PPE. En effet, selon le recourant, l ¿activité d¿2.******** consisterait à trouver des terrains constructibles susceptibles d¿être mis en valeur, de faire le travail de promotion gratuitement pour les vendeurs et ensuite, de réaliser la construction. Cette opération nécessitait pour les parties de passer au préalable une promesse de vente et de mobiliser la valeur économique des deux parcelles. Afin de garantir à 2.********, constructrice, le blocage des terrains et de la prémunir contre le revirement éventuel des vendeurs, ceux-ci sont convenus d¿octroyer un droit d¿emption sur leurs terrains. Du reste, le recourant le reconnaît lui-même, le droit d¿emption a été détourné en l¿espèce de son but puisqu¿il s¿agissait pour 2.******** de bloquer en quelque sorte les immeubles et de se prémunir d¿un revirement éventuel des consorts CDX.________. Cette promesse de vente garantissait en quelque sorte à 2.******** de pouvoir réaliser les trois bâtiments pour lesquels les consorts CDX.________ avaient obtenu un permis de construire. Or, cet acte n¿a pas été conclu par 2.********, mais par le recourant. b) Le recourant laisse entendre qu¿il eût appartenu à 2.******** de conclure cet acte en qualité de promettant-acquéreur. A l¿époque toutefois, l¿art. 6 al. 2 let. a de la l oi fédérale du 16 décembre 1983 sur l¿acquisition d¿immeubles par des personnes à l¿étranger (LFAIE; RS 211.412.41) aurait fait obstacle à la signature d¿un tel acte puisque l ¿actionnaire majoritaire d¿2.********, B.________, était domicilié en 14.********. C¿est la raison pour laquelle il aurait été convenu que le recourant, alors administrateur unique d¿2.********, s¿engage en lieu et place de celle-ci, sans toutefois acquérir de droit propre dans l¿opération. Tout en admettant que l¿opération avait un caractère commercial, le recourant indique qu¿il n¿a été qu¿un instrument pour permettre la réussite de celle-ci. Le Tribunal ne peut se rallier à cette explication. Contrairement à ses explications, le recourant était directement intéressé à la réussite de l¿opération. Il y était même partie prenante puisqu¿au sens de la convention du 19 mai 2003, il faisait partie de la désignation contractuelle de « L¿Entreprise », conjointement et solidairement avec 2.********. Il détenait même, toujours conjointement avec 2.********, un droit propre à 45% du bénéfice. Il n¿est donc ni surprenant, ni insolite, qu¿il se soit engagé à l¿égard des consorts CDX.________ en qualité de promettant-acquéreur. Du reste, lorsque le recourant, le 14 juin 2004, s¿est démis de sa promesse d¿achat et a renoncé au droit d¿emption qui lui avait été conféré par les consorts CDX.________, sa créance subsistait. Ce n¿est que postérieurement qu¿il a également renoncé à cette créance, soit dans l¿avenant du 7 juillet 2004 à la convention du 19 mai 2003. Cependant, comme le relève à juste titre l¿ACI, les promettants-vendeurs n¿ont pas recouvré leur liberté initiale de contracter lorsque cette renonciation est intervenue. Au contraire, le recourant et 2.********, en exécution des accords préalablement passés, sont parvenus à leur imposer la conclusion d¿un contrat d¿entreprise générale, soit une stipulation pour autrui, avec les acheteurs. Cela démontre que la promesse de vente initiale a déployé ses effets. c) Force est ainsi d¿admettre que le recourant, nonobstant sa renonciation audit droit, a bien conservé un intérêt dans la réalisation de la valeur économique des immeubles. Lors même qu¿il n¿aurait pas été directement rétribué par le groupe 2.******** en contrepartie de cette renonciation, sa position d¿administrateur, rémunérée par des honoraires et autres tantièmes, l¿intéresse inévitablement au résultat des sociétés. L¿ACI relève à cet égard, sans être contredite, que le groupe 2.******** a réalisé pour plus de dix millions de francs d¿opérations immobilières dans le canton en 2007. Dans ses dernières écritures, le recourant admet du reste lui-même avoir agi dans un contexte purement commercial et que sa relation économique avec le groupe 2.********, dont il est administrateur et son épouse est actionnaire minoritaire, explique cette renonciation. Il a du reste indiqué en audience qu¿il allait de l¿intérêt de tout le monde que l¿opération se fasse, raison pour laquelle il avait accepté de signer la promesse de vente. Le recourant n¿est par conséquent pas fondé à soutenir dans le même temps que sa renonciation au droit d¿acquérir les immeubles des consorts CDX.________ est intervenue à titre gratuit. d) Dès lors que la renonciation par le recourant à son droit d¿acquérir les parcelles des consorts CDX.________ se voit conférer une contrepartie onéreuse, sans qu¿il soit nécessaire d¿examiner par surabondance de moyens si cet acte revêt au surplus une forme insolite, elle génère la perception d¿un droit de mutation. Le calcul dudit droit s¿opère conformément à l¿art. 8 al. 2 LMSD, soit sur la moitié du prix convenu entre le vendeur et le renonçant.</w:t>
      </w:r>
    </w:p>
    <w:p>
      <w:r>
        <w:rPr>
          <w:b/>
        </w:rPr>
        <w:t>E. 4</w:t>
      </w:r>
    </w:p>
    <w:p>
      <w:r>
        <w:t>Le recours doit ainsi être rejeté et à la décision attaquée, confirmée. Les frais sont mis à la charge du recourant; l¿allocation de dépens n¿entre pas en ligne de compte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