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FI.2006.0105 vom 28. Februar 2007</w:t>
      </w:r>
    </w:p>
    <w:p>
      <w:r>
        <w:t>VD Tribunal cantonal, 2007-02-28, FR</w:t>
      </w:r>
    </w:p>
    <w:p>
      <w:r>
        <w:rPr>
          <w:b/>
        </w:rPr>
        <w:t xml:space="preserve">Quelle: </w:t>
      </w:r>
      <w:r>
        <w:t>https://mcp.opencaselaw.ch/entscheid/vd_omni_FI.2006.0105</w:t>
      </w:r>
    </w:p>
    <w:p>
      <w:r>
        <w:t>FR: VD_OMNI FI.2006.0105 du 28 février 2007</w:t>
      </w:r>
    </w:p>
    <w:p>
      <w:r>
        <w:t>IT: VD_OMNI FI.2006.0105 del 28 febbraio 2007</w:t>
      </w:r>
    </w:p>
    <w:p>
      <w:pPr>
        <w:pStyle w:val="Heading2"/>
      </w:pPr>
      <w:r>
        <w:t>Regeste</w:t>
      </w:r>
    </w:p>
    <w:p>
      <w:r>
        <w:t>X.________ c/Administration cantonale des impôts, Direction de la sécurité publique et des sports, Service cantonal valaisan des contributions, Municipalité de 6.******** | Célibataire de trente-six ans résidant à 5.******** depuis 1997, où il travaille sans discontinuer depuis. Son domicile doit être fixé à 5.******** et non à 6.********, où il se rend plusieurs fois par semaine pour y voir ses parents et amis. La relation amoureuse qu'il entretient avec une 6.******** n'est assimilable ni à un mariage, ni à un concubinage.</w:t>
      </w:r>
    </w:p>
    <w:p>
      <w:pPr>
        <w:pStyle w:val="Heading2"/>
      </w:pPr>
      <w:r>
        <w:t>Erwägungen</w:t>
      </w:r>
    </w:p>
    <w:p>
      <w:r>
        <w:rPr>
          <w:b/>
        </w:rPr>
        <w:t>E. 1</w:t>
      </w:r>
    </w:p>
    <w:p>
      <w:r>
        <w:t>Le litige a trait au domicile fiscal de A.________ en matière d’impôt cantonal et communal à compter du 1 er janvier 2006.</w:t>
      </w:r>
    </w:p>
    <w:p>
      <w:r>
        <w:rPr>
          <w:b/>
        </w:rPr>
        <w:t>E. 2</w:t>
      </w:r>
    </w:p>
    <w:p>
      <w:r>
        <w:t>Le contribuable est soumis à l’impôt communal dans la commune où il paie l’impôt cantonal (art. 9 de la loi du 5 décembre 1956 sur les impôts communaux – LIC ; RSV 650.11). A teneur de l’art. 3 de la loi sur les impôts directs cantonaux, du 4 juillet 2000 (LI ;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sur l’harmonisation des impôts directs des cantons et des communes, du 14 décembre 1990 (LHID ; RS 642.14 ; cf. ATF 131 I 145 consid. 4.1 p. 150).</w:t>
      </w:r>
    </w:p>
    <w:p>
      <w:r>
        <w:rPr>
          <w:b/>
        </w:rPr>
        <w:t>E. 3</w:t>
      </w:r>
    </w:p>
    <w:p>
      <w:r>
        <w:t>a) Le principe de la prohibition de la double imposition, déduit de l’art. 127 al. 3, première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131 I 145 consid. 3 p. 149, 285 consid. 2.1 p. 286 ; 125 I 54 consid. 1b p. 55/56, 458 consid. 2a p. 466/467). b) L’imposition du revenu et de la fortune mobilière d’une personne revient au canton où cette personne a son domicile fiscal (ATF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131 I 145 consid. 4.1 p. 149/150 ; 125 I 458 consid. 2b p. 467, et les arrêts cités). c) Le domicile fiscal des contribuables exerçant une activité lucrative dépendante est fixé, en règle générale, au lieu où ils séjournent pour une durée longue ou indéterminée et d’où ils se rendent quotidiennement sur leur lieu de travail (ATF 125 I 54 consid. 2 p. 56; arrêt FI.2005.0176 du 4 octobre 2005, consid. 1c/aa, et les références citées). Le principe de l’unité du domicile (cf. ATF 121 I 14 consid. 4b p. 17) n’empêche cependant pas qu’une personne puisse séjourner alternativement à deux endroits et  entretenir des relations avec chacun d’entre eux, notamment lorsqu’elle réside au lieu de son travail une partie de la semaine et en un lieu différent l’autre partie de celle-ci. En ce cas, la détermination du domicile fiscal n’est pas laissée au libre choix du contribuable; le critère déterminant est celui du centre des relations personnelles, familiales et vitales (ATF 125 I 54 consid. 2a p. 56). Cet élément s’apprécie au regard de l’ensemble des circonstances spéciales du cas (ATF 123 I 289 consid. 2b p. 294). L’appartenance à des sociétés locales traditionnelles ne suffit pas pour créer un domicile fiscal principal (arrêt FI.2005.0176 consid. 1c/cc in fine, et les arrêts cités), pas davantage que le séjour en fin de semaine ou durant les vacances. Il existe au contraire une présomption que le contribuable est domicilié au lieu de son travail (arrêt FI.2005.0176, précité, consid. 1c/cc,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Le critère du lieu de travail peut même prévaloir lorsque le contribuable célibataire retourne toutes les fins de semaine dans sa famille; l’âge du contribuable et la durée des rapports de travail joue aussi un rôle à cet égard (ATF 125 I 54 consid. 2b/bb p. 57). Le fardeau de la preuve de l’existence d’éléments permettant de reconnaître un domicile fiscal ailleurs qu’au lieu de travail, repose sur les épaules du contribuable (ATF 125 I 54 consid. 3a p. 58).   Les critères auxquels la jurisprudence se réfère pour faire prévaloir le lieu des relations familiales sur celui du travail sont appréciés de manière particulièrement stricte, pour les célibataires (cf. AFF 2P. 119/2000 du 2 février 2001 c.3d./bb p. 7s.). Cette appréciation restrictive prend justement en compte la situation réelle :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 partie de la semaine qu’à l’endroit où elles passent leur temps libre. (cf. ATF 2P. 119/2000 du 2 février 2001 c. 3d./cc p.9). d) Le recourant, célibataire, demande à ce que la jurisprudence relative aux couples mariés lui soit appliquée, cependant cela ne se peut. Il invoque à ce titre son concubinage avec B.________ à 6.********, devant en raison de l’égalité de traitement entraîner, de ce fait, une application de la jurisprudence pour les couples mariés. La relation qu’a A.________ avec B.________ n’est toutefois pas assimilable à un concubinage (cf. ATF 108 II 204 ; ATF 106 II 1). Le recourant est domicilié chez ses parents et séjourne chez eux lors de ses retours en Valais et non chez son amie. Il doit donc être considéré comme un célibataire.</w:t>
      </w:r>
    </w:p>
    <w:p>
      <w:r>
        <w:rPr>
          <w:b/>
        </w:rPr>
        <w:t>E. 4</w:t>
      </w:r>
    </w:p>
    <w:p>
      <w:r>
        <w:t>Au regard de la jurisprudence qui vient d’être rappelée, il convient de considérer les différents critères posés pour établir le domicile fiscal  de A.________ et vérifier si la présomption réfragable du domicile fiscal au lieu de travail pour les contribuables célibataires peut être renversée. Les éléments à mettre en balance sont l’âge, la durée des rapports de travail, la vie sociale existante et l’aménagement de sa vie au lieu de son travail en rapport avec l’intensité des liens qui subsistent dans l’autre canton. a)  Le recourant habite à 5.******** depuis 1997. Il a quitté le Valais depuis 1994 pour faire une formation à 3.********. Il a successivement habité à 5.******** dans un studio, un appartement de deux pièces, et vit actuellement dans un logement de trois pièces. Il est ainsi établi de fait à 5.********. Lors de ses retours en Valais, il n’a à sa disposition qu’une chambre chez ses parents. Au surplus, il travaille depuis 1997 pour le même employeur et entre dans sa trente-cinquième année. Si le recourant quittait pour la première fois le foyer familial à la fin de ses études pour un studio, cet élément serait décisif mais en l’occurrence, A.________ est indépendant et depuis longtemps. Il fréquente une dizaine de connaissances à 5.********, qu’il voit en moyenne deux fois par mois. Il s’est donc progressivement installé à 5.******** et y a même une vie sociale. b) Pour démontrer que son domicile fiscal se situe en Valais, le recourant affirme avoir des horaires de travail irréguliers l’obligeant à habiter à 5.********. La jurisprudence a estimé que la durée des trajets 6.********-5.******** d’environ une heure pouvaient se faire quotidiennement (cf. ATF 2P. 171/2005 du 25 janvier 2006). En raison de ses horaires irréguliers le domicile que le recourant a pris à 5.******** n’est pas de pure commodité. Le recourant allègue rechercher un emploi en Valais, il s’agit là d’une perspective incertaine. Le recourant participe régulièrement à l’entraînement des juniors de 7.******** en tant qu’entraîneur assistant, à la préparation du Carnaval de 6.******** et aurait servi dans la protection civile. Cependant, conformément à la jurisprudence constante, le fait d’appartenir et de participer à des sociétés locales ne suffit pas pour créer un domicile fiscal principal (arrêt FI.2005.0176 consid. 1c/cc in fine, et les arrêts cités). Les parents du recourant attestent que leur fils rentre deux à trois fois par semaine et reste chez eux. L’amie du recourant affirme voir le recourant également à cette fréquence. Le recourant s’occupe épisodiquement dès qu’il le peut de ses neveux et nièces. Ces éléments ne sont pas déterminants (cf. ATF 2P. 171/2005  du 25 janvier 2006). Sans juger de la qualité de la relation qu’il entretient avec B.________, elle n’est pas davantage décisive. c) Ainsi, il n’existe pas en l’occurrence des éléments de fait propres à renverser la présomption que le domicile fiscal du recourant se trouve à son lieu de travail, soit 5.********. La décision attaquée échappe ainsi à toute critique.</w:t>
      </w:r>
    </w:p>
    <w:p>
      <w:r>
        <w:rPr>
          <w:b/>
        </w:rPr>
        <w:t>E. 5</w:t>
      </w:r>
    </w:p>
    <w:p>
      <w:r>
        <w:t>Le recours doit être rejeté. Les frais en sont mis à la charge du recourant ; l’allocation de dépens n’entre pas en ligne de compte (article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