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FI.2006.0088 vom 21. Mai 2007</w:t>
      </w:r>
    </w:p>
    <w:p>
      <w:r>
        <w:t>VD Tribunal cantonal, 2007-05-21, FR</w:t>
      </w:r>
    </w:p>
    <w:p>
      <w:r>
        <w:rPr>
          <w:b/>
        </w:rPr>
        <w:t xml:space="preserve">Quelle: </w:t>
      </w:r>
      <w:r>
        <w:t>https://mcp.opencaselaw.ch/entscheid/vd_omni_FI.2006.0088</w:t>
      </w:r>
    </w:p>
    <w:p>
      <w:r>
        <w:t>FR: VD_OMNI FI.2006.0088 du 21 mai 2007</w:t>
      </w:r>
    </w:p>
    <w:p>
      <w:r>
        <w:t>IT: VD_OMNI FI.2006.0088 del 21 maggio 2007</w:t>
      </w:r>
    </w:p>
    <w:p>
      <w:pPr>
        <w:pStyle w:val="Heading2"/>
      </w:pPr>
      <w:r>
        <w:t>Regeste</w:t>
      </w:r>
    </w:p>
    <w:p>
      <w:r>
        <w:t>X.________, Y.________/Administration cantonale des impôts, Administration fédérale des contributions | Prise en compte de rentes AVS et LPP au titre du revenu imposable conforme à la loi. Recours rejeté.</w:t>
      </w:r>
    </w:p>
    <w:p>
      <w:pPr>
        <w:pStyle w:val="Heading2"/>
      </w:pPr>
      <w:r>
        <w:t>Erwägungen</w:t>
      </w:r>
    </w:p>
    <w:p>
      <w:r>
        <w:rPr>
          <w:b/>
        </w:rPr>
        <w:t>E. 1</w:t>
      </w:r>
    </w:p>
    <w:p>
      <w:r>
        <w:t>Interjeté dans le délai de trente jours prévu par l’art. 200 de la loi sur les impôts directs cantonaux du 4 juillet 2000 (ci-après : LI), le présent recours est recevable à la forme.</w:t>
      </w:r>
    </w:p>
    <w:p>
      <w:r>
        <w:rPr>
          <w:b/>
        </w:rPr>
        <w:t>E. 2</w:t>
      </w:r>
    </w:p>
    <w:p>
      <w:r>
        <w:t>Les recourants se plaignent, en substance, de la prise en compte des rentes versées tant par la caisse AVS que par une institution de prévoyance professionnelle.</w:t>
      </w:r>
    </w:p>
    <w:p>
      <w:r>
        <w:rPr>
          <w:b/>
        </w:rPr>
        <w:t>E. 3</w:t>
      </w:r>
    </w:p>
    <w:p>
      <w:r>
        <w:t>a) L’art. 26 al. 1 et 2 LI a la teneur suivante : « Sont imposables tous les revenus provenant de l'assurance-vieillesse et survivants, de l'assurance-invalidité ainsi que tous ceux provenant d'institutions de prévoyance professionnelle ou fournis selon des formes reconnues de prévoyance individuelle liée (art. 82 de la loi fédérale du 25 juin 1982 sur la prévoyance professionnelle, LPP), y compris les prestations en capital et le remboursement des versements, primes et cotisations. L'article 49 est réservé. Sont notamment considérées comme revenus provenant d'institutions de prévoyance professionnelle les prestations de caisses de pensions, de fondations patronales, d'institutions de libre passage, ainsi que d'assurances collectives et de groupe. » Quant à lui, l’art. 22 al. 1 et 2 de la loi fédérale sur l’impôt fédéral direct du 14 décembre 1990 (ci-après : LIFD dispose ce qui suit : « Sont imposables tous les revenus provenant de l’assurance-vieillesse et survivants, de l’assurance-invalidité ainsi que tous ceux provenant d’institutions de prévoyance professionnelle ou fournis selon des formes reconnues de prévoyance individuelle liée, y compris les prestations en capital et le remboursement des versements, primes et cotisations. 2 Sont notamment considérés comme revenus provenant d’institutions de prévoyance professionnelle les prestations des caisses de prévoyance, des assurances d’épargne et de groupe ainsi que des polices de libre-passage. » Ainsi, il ressort clairement de la lettre de la loi que l’intégralité des prestations provenant tant de l’AVS que des institutions de prévoyance professionnelle doit être imposée, alors que les cotisations sont, quant à elles, entièrement déductibles du revenu (cf. Peter Agner, Beat Jung, Gotthard Steinmann, Commentaire de la loi sur l’impôt fédéral direct, Zurich 2001, p. 95, n° 1 et 2 ad. Art. 22). Force est ainsi de constater que, sur ce point, la décision entreprise ne prête pas le flanc à la critique, les recourants n’exposant au demeurant aucunement en quoi ces dispositions auraient pu être violées.</w:t>
      </w:r>
    </w:p>
    <w:p>
      <w:r>
        <w:rPr>
          <w:b/>
        </w:rPr>
        <w:t>E. 4</w:t>
      </w:r>
    </w:p>
    <w:p>
      <w:r>
        <w:t>Les recourants se plaignent également du caractère « inconstitutionnel » de la décision entreprise, faisant valoir, de manière quelque peu confuse, qu’elle serait contraire au principe de la force dérogatoire du droit fédéral, aux articles 111, 112 al. 2 lettre b et 113 al. 2 lettre a Cst (qui prévoient en substance l’obligation d’assurer le versements de rentes-vieillesse qui permettent de satisfaire les besoins vitaux (AVS) et de maintenir le niveau de vie antérieur (LPP)) et 127 al. 3 CST (qui prohibe la double imposition par les cantons). Or, et en l’absence de toute argumentation articulée de la part des recourants, le tribunal ne discerne pas en quoi l’un des principes constitutionnels précités pourrait avoir été violé par la décision entreprise. Ainsi, et pour autant que ces griefs soient recevables (art. 31 al. 2 JPA), ils doivent à l’évidence être rejetés.</w:t>
      </w:r>
    </w:p>
    <w:p>
      <w:r>
        <w:rPr>
          <w:b/>
        </w:rPr>
        <w:t>E. 5</w:t>
      </w:r>
    </w:p>
    <w:p>
      <w:r>
        <w:t>Les recourants semblent également se plaindre d’avoir déjà dû s’acquitter de montants déjà importants au titre d’impôts depuis 1992, et ainsi ne pas devoir de montants supplémentaires. Or, les décisions de taxation antérieures à celle faisant l’objet de la présente procédure sont de toute évidence entrées en force, et l’on voit ainsi mal quel grief précis les recourants entendent faire valoir. Enfin, ces derniers soutiennent également que leur situation financière ne leur permet pas de faire face au paiement de l’impôt. Or, comme le relève l’ACI, ce grief est lié à la procédure de perception de l’impôt, et non à celle de taxation. Ce grief est ainsi irrecevable.</w:t>
      </w:r>
    </w:p>
    <w:p>
      <w:r>
        <w:rPr>
          <w:b/>
        </w:rPr>
        <w:t>E. 6</w:t>
      </w:r>
    </w:p>
    <w:p>
      <w:r>
        <w:t>Les considérants qui précèdent conduisent le tribunal à rejeter le recours dans la mesure de sa recevabilité, et à confirmer la décision entreprise. Compte tenu des circonstances, le présent arrêt sera rendu sans frais ni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