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FI.2006.0045 vom 13. Juni 2006</w:t>
      </w:r>
    </w:p>
    <w:p>
      <w:r>
        <w:t>VD Tribunal cantonal, 2006-06-13, FR</w:t>
      </w:r>
    </w:p>
    <w:p>
      <w:r>
        <w:rPr>
          <w:b/>
        </w:rPr>
        <w:t xml:space="preserve">Quelle: </w:t>
      </w:r>
      <w:r>
        <w:t>https://mcp.opencaselaw.ch/entscheid/vd_omni_FI.2006.0045</w:t>
      </w:r>
    </w:p>
    <w:p>
      <w:r>
        <w:t>FR: VD_OMNI FI.2006.0045 du 13 juin 2006</w:t>
      </w:r>
    </w:p>
    <w:p>
      <w:r>
        <w:t>IT: VD_OMNI FI.2006.0045 del 13 giugno 2006</w:t>
      </w:r>
    </w:p>
    <w:p>
      <w:pPr>
        <w:pStyle w:val="Heading2"/>
      </w:pPr>
      <w:r>
        <w:t>Regeste</w:t>
      </w:r>
    </w:p>
    <w:p>
      <w:r>
        <w:t>X./ Administration cantonale des impôts | Sous l'angle de l'égalité de traitement, la Caisse de pensions de la commune de Lausanne doit, pour ce qui concerne l'impôt complémentaire sur les immeubles appartenant aux personnes morales, être traitée de la même manière que la caisse de pensions de l'Etat de Vaud et la Caisse intercommunale de pensions.</w:t>
      </w:r>
    </w:p>
    <w:p>
      <w:pPr>
        <w:pStyle w:val="Heading2"/>
      </w:pPr>
      <w:r>
        <w:t>Erwägungen</w:t>
      </w:r>
    </w:p>
    <w:p>
      <w:r>
        <w:rPr>
          <w:b/>
        </w:rPr>
        <w:t>E. 1</w:t>
      </w:r>
    </w:p>
    <w:p>
      <w:r>
        <w:t>L’arrêt du Tribunal fédéral passe en force de chose jugée dès son prononcé (art. 38 OJ). Définitif, il s’impose à toutes les parties et autorités concernées. Le Tribunal est dès lors lié par le dispositif de l’arrêt du 24 avril 2006. Il s’ensuit qu’il n’y a plus à revenir sur la taxation pour l’année 1997, la réclamation y relative étant tardive, partant irrecevable, ni sur celle pour l’année 1999. Sur ces deux points, la solution de l’arrêt du 31 août 2005 a été confirmée. Elle a été infirmée, en revanche, s’agissant de la taxation pour l’année 1998. Selon le Tribunal fédéral, la recourante peut déduire du principe de l’égalité de traitement son droit à l’exonération de l’impôt complémentaire sur ses immeubles, à l’instar de la Caisse de pensions de l’Etat de Vaud et de la Caisse intercommunale de pensions. Ce point est acquis.</w:t>
      </w:r>
    </w:p>
    <w:p>
      <w:r>
        <w:rPr>
          <w:b/>
        </w:rPr>
        <w:t>E. 2</w:t>
      </w:r>
    </w:p>
    <w:p>
      <w:r>
        <w:t>Il suit de là que le ch. II du dispositif de l’arrêt du 31 août 2005 doit être modifié et la décision du 3 mars 2005 annulée aussi bien pour ce qui concerne l’année 1998 que l’année 1999, le recours devant être rejeté uniquement pour ce qui concerne l’année 1997. Cela entraîne du même coup la modification de la répartition des frais pour la procédure cantonale. Selon l’arrêt du 31 août 2005, le montant de l’émolument a déjà été réduit. Il convient de le réduire encore. Si l’on prend en compte les trois années de taxation (1997,1998 et 1999), la recourante obtient gain de cause sur les deux tiers de ses conclusions, et non plus sur un tiers seulement, comme c’était le cas avant le prononcé de l’arrêt du 24 avril 2006. Cela justifie de réduire de moitié le montant de l’émolument mis à la charge de la recourante selon l’arrêt du 31 août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