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FI.2006.0023 vom 6. November 2006</w:t>
      </w:r>
    </w:p>
    <w:p>
      <w:r>
        <w:t>VD Tribunal cantonal, 2006-11-06, FR</w:t>
      </w:r>
    </w:p>
    <w:p>
      <w:r>
        <w:rPr>
          <w:b/>
        </w:rPr>
        <w:t xml:space="preserve">Quelle: </w:t>
      </w:r>
      <w:r>
        <w:t>https://mcp.opencaselaw.ch/entscheid/vd_omni_FI.2006.0023</w:t>
      </w:r>
    </w:p>
    <w:p>
      <w:r>
        <w:t>FR: VD_OMNI FI.2006.0023 du 6 novembre 2006</w:t>
      </w:r>
    </w:p>
    <w:p>
      <w:r>
        <w:t>IT: VD_OMNI FI.2006.0023 del 6 novembre 2006</w:t>
      </w:r>
    </w:p>
    <w:p>
      <w:pPr>
        <w:pStyle w:val="Heading2"/>
      </w:pPr>
      <w:r>
        <w:t>Regeste</w:t>
      </w:r>
    </w:p>
    <w:p>
      <w:r>
        <w:t>X. c/Administration cantonale des impôts, Administration fédérale des contributions | N'est pas une décision (en l'occurrence, une décision de taxation), le renseignement par lequel l'ACI indique au contribuable quel montant elle entend retenir comme valeur de transfert de l'immeuble, en cas de vente. Il ne s'agit pas davantage d'une décision constatatoire au sens de l'art. 29 al. 2 let. b LJPA.</w:t>
      </w:r>
    </w:p>
    <w:p>
      <w:pPr>
        <w:pStyle w:val="Heading2"/>
      </w:pPr>
      <w:r>
        <w:t>Erwägungen</w:t>
      </w:r>
    </w:p>
    <w:p>
      <w:r>
        <w:rPr>
          <w:b/>
        </w:rPr>
        <w:t>E. 1</w:t>
      </w:r>
    </w:p>
    <w:p>
      <w:r>
        <w:t>a) D’un point de vue formel, le litige a trait: à l’impôt cantonal et communal, ainsi qu’à l’impôt fédéral mis à la charge de la Société pour la période 1998; à l’impôt cantonal et communal, ainsi qu’à l’impôt fédéral direct mis à la charge des époux Y. X.________ et Z. X.________ pour la période 1999-2000; à l’impôt cantonal et communal, ainsi qu’à l’impôt fédéral direct mis à la charge des époux B. X.________ et C. X.________ pour la période 1999-2000; au droit de mutation dû par Y. X.________ et B. X.________ en rapport avec la vente du 20 juillet 1998. D’un point de vue matériel, deux questions sont soumises au Tribunal. La première est de savoir si, sous l’angle de la bonne foi, l’ACI était liée par l’engagement du 26 juin 1997; la deuxième de savoir si cet engagement équivaut à une décision de taxation révisable. S’il faut y répondre par l’affirmative, avec les recourants, toutes les décisions attaquées doivent être annulées, car elles découlent les unes des autres. En effet, si la valeur de transfert de l’immeuble doit être arrêtée à 720'000 fr., cela entraîne l’annulation des reprises opérées, aussi bien pour la Société que pour les associés, ainsi que l’annulation de la décision relative au droit de mutation. Si la thèse inverse doit être retenue, toutes les décisions devront être confirmées. Les recourants limitent leur argumentation aux deux questions qui viennent d’être évoquées. Ils ne contestent pas, pour le surplus, le calcul du montant de la reprise effectuée tant auprès de la Société que des autres contribuables, pas davantage que la détermination du montant du droit de mutation dû par surcroît si le recours devait être rejeté. Ces points, qui ne font pas l’objet de conclusions ou de moyens subsidiaires par rapport à ceux développés principalement, ne sont dès lors pas litigieux. b) A l’instar de l’ACI, et comme la jurisprudence lui permet de le faire, le Tribunal statuera en un seul arrêt sur le recours en tant qu’il a trait à l’impôt cantonal et communal, d’une part, et à l’impôt fédéral, d’autre part (ATF 131 II 553 consid. 4.2 p. 559; 130 II 509 consid. 8.3 p. 511).</w:t>
      </w:r>
    </w:p>
    <w:p>
      <w:r>
        <w:rPr>
          <w:b/>
        </w:rPr>
        <w:t>E. 2</w:t>
      </w:r>
    </w:p>
    <w:p>
      <w:r>
        <w:t>a) S’agissant des impôts cantonaux et communaux, s’applique la loi sur les impôts directs cantonaux, du 26 novembre 1956 (aLI). Les faits litigieux sont en effet antérieurs à l’entrée en vigueur, le 1 er janvier 2001, de la loi homonyme du 4 juillet 2000 (LI; RSV 642.11), laquelle a abrogé l’aLI (art. 278 LI). Quant au droit de mutation, il est régi par la loi concernant le droit de mutation sur les transferts immobiliers et l’impôts sur les successions et donations, du 27 février 1963 (LMSD; RSV 648.11). b) S’agissant de l’impôt fédéral direct s’applique la loi fédérale y relative, du 14 décembre 1990 (LIFD; RS 642.11).</w:t>
      </w:r>
    </w:p>
    <w:p>
      <w:r>
        <w:rPr>
          <w:b/>
        </w:rPr>
        <w:t>E. 3</w:t>
      </w:r>
    </w:p>
    <w:p>
      <w:r>
        <w:t>a) Aux termes de l’art. 29 al. 2 LJPA est une décision toute mesure prise par une autorité dans un cas d’espèce et ayant pour objet de créer, de modifier, d’annuler des droits ou des obligations (let. a); de constater l’existence, l’inexistence ou l’étendue de droits ou d’obligations (let. b) ; de rejeter ou de déclarer irrecevables des demandes tendant à créer, modifier, annuler ou constater des droits ou des obligations (let. c). La décision est un acte étatique adressé au particulier, réglant de manière obligatoire et contraignante un rapport juridique relevant du droit public (ATF 121 II 473 consid. 2a p. 477, et les références citées).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(arrêt GE.2006.0049 du 13 juillet 2006, consid. 1a). Une décision de taxation fixe tant le principe que la quotité de la créance d’impôt (cf., par exemple, l’art. 131 al. 1 LIFD). En droit cantonal, faute de disposition équivalente, la taxation se fait généralement en deux étapes: la notification des éléments imposables, puis la détermination du taux et le calcul de l’impôt (arrêt FI.2002.0041 du 27 novembre 2002, consid. 1a, et les références citées). En l’occurrence, la communication du 26 juin 1997 n’est pas une décision de taxation, car, à cette époque, le fait générateur (soit la vente de l’immeuble) ne s’était pas encore produit. On ne saurait dès lors considérer la décision attaquée comme une révision au sens de l’art. 109 aLI, dont se prévalent les recourants. b) La communication du 26 juin 1997 ne peut davantage être considérée comme une décision constatatoire au sens de l’art. 29 al. 2 let. b LJPA, par quoi on en entend la détermination de l’autorité qui indique à l’avance la solution qu’elle appliquera dans une décision à venir. En droit fiscal en effet, une telle hypothèse n’est admise qu’exceptionnellement, lorsque la loi réserve expressément la faculté de l’administration de se lier par des décisions constatatoires (cf. ATF 126 II 514 consid. 3 p. 517-520, ainsi que les arrêts et les références cités). Or, le droit cantonal ne confère pas à l’ACI le droit de rendre des décisions de cette nature (arrêt FI.2002.0041, précité, consid. 1b). c) En conclusion sur ce point, et malgré qu’il se définit comme telle, le courrier du 26 juin 1997 n’est pas une décision au sens de l’art. 29 al. 2 LJPA. Il doit être considéré comme un renseignement, indiquant au contribuable l’intention de l’ACI de retenir le montant de 720'000 fr. comme valeur de transfert de l’immeuble en cas de vente.</w:t>
      </w:r>
    </w:p>
    <w:p>
      <w:r>
        <w:rPr>
          <w:b/>
        </w:rPr>
        <w:t>E. 4</w:t>
      </w:r>
    </w:p>
    <w:p>
      <w:r>
        <w:t>Les recourants invoquent le principe de la bonne foi. a) Celui-ci impose à l'Etat et aux citoyens de se comporter de manière loyale dans leurs relations mutuelles (art. 5 al. 3 et 9 Cst.; art. 11 Cst./VD; ATF 131 I 166 consid. 6.1 p. 177; 126 II 97 consid. 4b p. 104/105). En particulier, l'autorité doit s'abstenir de tout comportement propre à tromper le citoyen et elle ne saurait tirer aucun avantage des conséquences d'une incorrection ou d'une insuffisance de sa part (ATF 124 II 265 consid. 4a p. 269/270; 121 I 181 consid. 2a p. 183, et les arrêts cités). L e principe de la bonne foi protège également le citoyen dans la confiance légitime qu'il met dans les assurances reçues des autorités , notamment lorsqu'il a réglé sa conduite d'après des décisions, des déclarations ou un comportement déterminé de l'administration (ATF 129 I 161 consid. 4.1 p. 170, 361 consid. 7.1 p. 381; 128 II 112 consid. 10b/aa p. 125/126; 126 II 377 consid. 3a p. 387 , et les arrêts cités) .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 e t les arrêts cités). b) Il ressort du dossier et des déclarations des témoins faites lors de l’audience du 23 octobre 2006, que l’ACI a d’abord fixé la valeur de transfert à 1'000'000 fr., selon le courrier adressé le 4 avril 1995 aux recourants. Ceux-ci ont contesté ce point de vue. Dans leur prise de position du 17 mai 1995, ils ont exposé les motifs commandant, selon eux, de fixer cette valeur à 720'000 fr. N’obtenant pas de réponse à ce sujet, ils ont interpellé l’ACI. M. F.________ , personne en charge du dossier, a fait appel à son collègue E.________ , parce que c elui-ci, spécialiste de l’imposition du gain immobilier et de la liquidation des sociétés immobilières, avait une vue d’ensemble de la valeur des immeubles. A l’issue de l’entretie n du 24 juin 1997, E.________ a, le 26 juin 1997, confirmé l’acquiescement de l’ACI au montant proposé par les recourants, soit 720'000 fr. Lors de l’audience du 23 octobre 2006, il a précisé que l’engagement du 26 juin 1997 équivalait à l’entérinement de la prise de position du 17 mai 1995, dont il n’a pas remis en discussion les bases de calcul. Peu importe à cet égard ce qui s’est dit exactement lors de l’entretien du 24 juin 1997, qui y a participé et si les travaux effectués en 1996 ont été évoqués expressément à cette occasion . L ’essentiel est que E.________ a déclaré que M. F.________ lui avait signalé, à une époque qu’il situe à la fin de l’été 1997, que la déclaration d’impôt du 11 août 1997 avait révélé que des travaux avaient effectués dans le bâtiment litigieux, pour un montant de l’ordre de 260'000 fr. MM. F.________ et E.________ sont tombés d’accord sur le point que ce fait nouveau rend ait caduc l’engagement du 26 juin 1997 et que le montant arrêté à 720'000 fr. devait être réévalué en proportion des dépenses engagées. Pour E.________ , il allait en effet de soi que s’il avait eu connaissance , en juin 1997, du montant des travaux effectués en 1996, il n’aurait pas fixé la valeur de transfert à 720'000 fr. Il est ainsi établi q ue les services concernés de l’ACI savaient, en septembre 1997, que l’engagement donné le 26 juin précédent n’était plus valable. E.________ a déclaré n’avoir pas averti les recourants de ce fait, escomptant que M. F.________ , en charge du dossier, se chargerait de le faire. Il aurait q uant à lui, en pareil cas, averti le contribuable du changement de situation. Or, aucun élément du dossier ne permet d’admettre que l’ACI a informé les recourants de la caducité de l’engagement du 26 juin 1997. Un tel silence n’est pas compatible avec le principe de la bonne foi , car il a amené les recourants à prendre des dispositions irréversibles sur une base erronée, tant il est évident que les recourants n’auraient jamais acquis l’immeuble compte tenu d’une valeur de transfert fixée à 1'000'000 fr. L ’administration qui s’aperçoit spontanément de l’erreur entachant un renseignement qui la lie, doit prévenir immédiatement le citoyen du changement de situation et révoque r l’engagement désormais obsolète . Cela était d’autant plus nécessaire en l’occurrence que l’engagement du 26 juin 1997 réservait expressément la survenance de faits nouveaux et que l’ACI savait que le renseignement litigieux était déterminant quant à la décision à prendre par les recourants. c) Le moyen est ainsi bien fondé. Le recours doit être admis, sans qu’il soit nécessaire d’examiner, pour le surplus, les autres griefs soulevés par les recourants.</w:t>
      </w:r>
    </w:p>
    <w:p>
      <w:r>
        <w:rPr>
          <w:b/>
        </w:rPr>
        <w:t>E. 5</w:t>
      </w:r>
    </w:p>
    <w:p>
      <w:r>
        <w:t>Le recours doit ainsi être admis et les décisions attaquées annulées. La cause est renvoyée à l’ACI pour qu’elle fixe l’imposition, pour les périodes litigieuses et les impôts concernés, en retenant le montant de 720'000 fr. comme valeur de transfert de l’immeuble. Il est statué sans frais et les recourants ont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