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FI.2005.0228 vom 14. November 2006</w:t>
      </w:r>
    </w:p>
    <w:p>
      <w:r>
        <w:t>VD Tribunal cantonal, 2006-11-14, FR</w:t>
      </w:r>
    </w:p>
    <w:p>
      <w:r>
        <w:rPr>
          <w:b/>
        </w:rPr>
        <w:t xml:space="preserve">Quelle: </w:t>
      </w:r>
      <w:r>
        <w:t>https://mcp.opencaselaw.ch/entscheid/vd_omni_FI.2005.0228</w:t>
      </w:r>
    </w:p>
    <w:p>
      <w:r>
        <w:t>FR: VD_OMNI FI.2005.0228 du 14 novembre 2006</w:t>
      </w:r>
    </w:p>
    <w:p>
      <w:r>
        <w:t>IT: VD_OMNI FI.2005.0228 del 14 novembre 2006</w:t>
      </w:r>
    </w:p>
    <w:p>
      <w:pPr>
        <w:pStyle w:val="Heading2"/>
      </w:pPr>
      <w:r>
        <w:t>Regeste</w:t>
      </w:r>
    </w:p>
    <w:p>
      <w:r>
        <w:t>X. c/Administration cantonale des impôts | L'époux a acquis le solde de l'immeuble lors de la liquidation du régime matrimonial. L'imposition du gain immobilier a été différée, puis le conjoint acquéreur a vendu l'immeuble à un tiers. La durée de possession, déterminante pour la fixation du taux de l'impôt, est celle qui va de l'acquisition originaire (même partielle) jusqu'à la réalisation finale. Le partage résultant de la liquidation du régime matrimonial, survenu dans l'intervalle, ne donne pas lieu au fractionnement du gain immobilier. Calcul de l'assiette de l'impôt en cas d'imposition différée.</w:t>
      </w:r>
    </w:p>
    <w:p>
      <w:pPr>
        <w:pStyle w:val="Heading2"/>
      </w:pPr>
      <w:r>
        <w:t>Erwägungen</w:t>
      </w:r>
    </w:p>
    <w:p>
      <w:r>
        <w:rPr>
          <w:b/>
        </w:rPr>
        <w:t>E. 1</w:t>
      </w:r>
    </w:p>
    <w:p>
      <w:r>
        <w:t>Le litige porte sur la durée de possession déterminant le taux de l’imposition différée du gain immobilier. a) Cet impôt frappe les gains réalisés lors de l’aliénation de tout ou partie d’un immeuble faisant partie de la fortune privée du contribuable ou d’un immeuble agricole ou sylvicole, à condition que le prix de l’aliénation soit supérieur aux dépenses d’investissement (art. 12 al. 1 de la loi fédérale sur l’harmonisation des impôts directs des cantons et des communes, du 14 décembre 1990 – LHID; RS 642.14; art. 61 al. 1 let. a et b LI). Toute aliénation d’immeuble est imposable; y sont assimilés les actes juridiques qui produisent les mêmes effets économiques qu’une aliénation sur le pouvoir de disposer d’un immeuble (art. 12 al. 2 let. a LHID). En l’occurrence, la parcelle No 2******** a été acquise le 22 avril 1980 par les époux X.________, en copropriété par moitié chacun. Le 23 septembre 2002, à la suite de la liquidation du régime matrimonial, A. X.________ a acquis la totalité de la propriété de la parcelle, qu’il a revendue le 23 septembre 2004. Cette dernière opération, litigieuse, est imposable au titre du gain immobilier. b) L’imposition est différée notamment en cas de transfert de propriété entre époux en rapport avec le régime matrimonial, ou de prétentions découlant du droit du divorce, pour autant que les deux époux soient d’accord (art. 12 al. 3 let. b LHID et 65 al. 1 let. b LI, de même teneur). Ces conditions sont remplies en l’espèce. c) La LHID ne contient pas de prescriptions relatives à la durée de la possession, ni à la détermination de celle-ci. Ces questions sont régies par le seul droit cantonal. d) L’art. 68 al. 1 LI dispose qu’en cas d’aliénation d’un immeuble acquis lors d’une opération dont l’imposition a été différée selon l’art. 65 al. 1 let. a à c LI, le précédent transfert imposé est déterminant pour fixer le prix d’acquisition et la durée de la possession. Par précédent transfert imposé, on entend celui qui a donné lieu à la dernière aliénation imposable au titre du gain immobilier, soit l’acquisition originaire du 22 avril 1980; il n’y a dès lors pas lieu de tenir compte, dans la détermination de l’assiette de l’impôt et de la durée de possession, du partage intervenu entre les époux au moment de la liquidation du régime matrimonial, en l’occurrence l’acquisition du 23 septembre 2002 (Bernhard Zwahlen, in: Martin Zweifel/Peter Athanas (ed) Kommentar zum Schweizerischen Steuerrecht, I/1, 2 ème éd., 2002, N.61 ad art. 12 LHID; Walter Ryser/Bernhard Rolli, Précis de droit fiscal suisse, 4 ème éd., 2002, p. 391, Peter Locher, Grundstückgewinnsteueraufschub beim Handwechsel von Grundstücken unter Ehegatten, in: Festschrift für Heinz Hausheer, p. 377ss, 382; Ferdinand Zuppinger, Grundsückgewinn- und Vermögenssteuer, Archives 61 p. 309ss, p. 317/318; cf. également Felix Richner/Walter Frei/Stefan Kaufmann/Hans Ulrich Meuter, Kommentar zum harmonisierten Zürcher Steuergesetz, 2006, N.153 ad art. 216 ZStG et N.40 ad art. 219 ZStG; Marianne Klöti-Weber/Dave Siegrist/Dieter Weber, Kommentar zum Aargauer Steuergesetz, 2 ème éd., 2004, N.2 ad art. 97 AStG, N. 27 ad art. 103 AStG, N.18-19 ad art. 110 AStG). Ce serait aller à l’encontre du but de la loi que de prendre en compte cette opération pour l’application de l’art. 68 al. 1 LI, car le but de l’imposition différée en cas de transfert de propriété entre époux, selon les art. 12 al. 3 let. b LHID et 65 al. 1 let. b LI, consiste précisément à neutraliser, du point de vue de la taxation, les effets de la liquidation du régime matrimonial, le paiement de l’impôt devant dans ce cas être reporté. Il suit de là que pour le calcul du gain immobilier imposable, il convient de prendre en compte la possession allant du 22 avril 1980 au 23 septembre 2004. e) Si l’immeuble aliéné a été acquis en plusieurs fois, notamment par investissements supplémentaires lors de transferts faisant l’objet d’une imposition différée selon l’art. 65 al. 1 LI, ou qu’il a fait l’objet de constructions ultérieures ou de transformations d’importance analogue, le gain est fractionné en fonction des différentes opérations pour calculer la durée de possession déterminant le taux applicable aux diverses parties du gain (art. 73 al. 2 LI). Pour l’ACI, cette disposition s’appliquerait parce que le recourant a acquis la propriété de la parcelle No 2******** en deux étapes: le 22 avril 1980 pour une moitié et le 23 septembre 2002 pour l’autre moitié. Cela aurait pour conséquence, selon l’ACI, que le gain devrait être fractionné en deux phases pour fixer la durée de possession. S’agissant de l’acquisition proprement dite, il conviendrait de tenir compte, pour une moitié, de la période allant du 22 avril 1980 au 23 septembre 2004. S’agissant du partage, serait déterminante la période allant du 23 septembre 2002 au 23 septembre 2004. Subséquemment, le taux applicable à la première fraction serait celui de 7% (correspondant à vingt-quatre années de possession et plus, selon l’art. 72 al. 3 LI), à la deuxième fraction celui de 20% (correspondant à quatre ou cinq années de possession, étant entendu que celles prouvées par le contribuable – soit deux ans, jour pour jour, en l’occurrence - comptent double, selon l’art. 72 al. 3 et 4 LI). Cette thèse ne peut être partagée, pour trois raisons au moins. Premièrement, l’art. 73 al. 2 LI, nonobstant sa formulation imprécise, ne s’applique pas au cas du transfert entre époux au sens des art. 12 al. 3 let. b LHID et 65 al. 1 let. b LI. Cette matière est en effet régie par l’art. 68 al. 1 LI, qui constitue à cet égard une règle spéciale prioritaire. Deuxièmement, retenir le fractionnement de la durée de possession dans le cas du transfert entre époux consécutif à la liquidation du régime matrimonial conduirait à un résultat contraire au but des art. 12 al.</w:t>
      </w:r>
    </w:p>
    <w:p>
      <w:r>
        <w:rPr>
          <w:b/>
        </w:rPr>
        <w:t>E. 3</w:t>
      </w:r>
    </w:p>
    <w:p>
      <w:r>
        <w:t>Le présent arrêt peut faire l’objet d’un recours de droit administratif selon l’art. 73 LHID, puisqu’il porte sur l’application de l’art. 12 LHID; il importe peu à cet égard que le litige concerne un domaine réglé exhaustivement par le droit fédéral ou dans lequel le canton peut encore légiférer dans les limites du droit harmonisé (ATF 130 II 202 consid. 1 p. 204,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