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FI.2005.0183 vom 9. August 2006</w:t>
      </w:r>
    </w:p>
    <w:p>
      <w:r>
        <w:t>VD Tribunal cantonal, 2006-08-09, FR</w:t>
      </w:r>
    </w:p>
    <w:p>
      <w:r>
        <w:rPr>
          <w:b/>
        </w:rPr>
        <w:t xml:space="preserve">Quelle: </w:t>
      </w:r>
      <w:r>
        <w:t>https://mcp.opencaselaw.ch/entscheid/vd_omni_FI.2005.0183</w:t>
      </w:r>
    </w:p>
    <w:p>
      <w:r>
        <w:t>FR: VD_OMNI FI.2005.0183 du 9 août 2006</w:t>
      </w:r>
    </w:p>
    <w:p>
      <w:r>
        <w:t>IT: VD_OMNI FI.2005.0183 del 9 agosto 2006</w:t>
      </w:r>
    </w:p>
    <w:p>
      <w:pPr>
        <w:pStyle w:val="Heading2"/>
      </w:pPr>
      <w:r>
        <w:t>Regeste</w:t>
      </w:r>
    </w:p>
    <w:p>
      <w:r>
        <w:t>A. et B., c/Administration cantonale des impôts, Office d'impôt du district d'Yverdon | Rappel des critères de distinction entre l'activité lucrativé dépendante et indépendante. Le contribuable qui s'est toujours présenté au fisc comme exerçant la profession de représentant indépendant, notamment en remplissant le questionnaire pour indépendants et en déduisant de ses revenus des provisions et des amortissements, ne peut revendiquer le statut de dépendant dans le but, comme en l'espèce, d'obtenir une taxation intermédiaire dans la brèche de calcul liée au passage, en 2003, du postnumerando au praenumerando.</w:t>
      </w:r>
    </w:p>
    <w:p>
      <w:pPr>
        <w:pStyle w:val="Heading2"/>
      </w:pPr>
      <w:r>
        <w:t>Erwägungen</w:t>
      </w:r>
    </w:p>
    <w:p>
      <w:r>
        <w:rPr>
          <w:b/>
        </w:rPr>
        <w:t>E. 1</w:t>
      </w:r>
    </w:p>
    <w:p>
      <w:r>
        <w:t>Les recourants demandent à l'autorité intimée de procéder à une taxation intermédiaire dans la brèche de calcul, afin que leur revenu imposable pour la période du 1 er janvier 2001 au 31 décembre 2002 ne soit pas calculé sur la base des revenus réalisés durant les années 1999 et 2000. En raison d'un important problème de santé, B. X.________ a en effet vu son taux d'activité et ses revenus chuter en 2001. Qualifiant son activité de dépendante, il invoque l'application de la Directive.</w:t>
      </w:r>
    </w:p>
    <w:p>
      <w:r>
        <w:rPr>
          <w:b/>
        </w:rPr>
        <w:t>E. 2</w:t>
      </w:r>
    </w:p>
    <w:p>
      <w:r>
        <w:t>a) En droit fédéral, pour l'activité lucrative dépendante , l'art. 17 al. 1 de la loi fédérale du 14 décembre 1990 sur l'impôt fédéral directe (LIFD; RS 642.11) prévoit que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autres avantages appréciables en argent. L'art. 26 al. 1 LIFD énumère les frais professionnels qui peuvent être déduits, soit les frais de déplacement nécessaires entre le domicile et le lieu de travail (lettre a), les frais supplémentaires résultant des repas pris hors du domicile et du travail par équipes (lettre b), les autres frais indispensables à l'exercice de la profession (lettre c) et les frais de perfectionnement et de reconversion professionnels en rapport avec l'activité exercée (lettre d). Il est précisé que les frais professionnels mentionnés au 1 er alinéa, lettres a à c, sont estimés forfaitairement; dans le cas du 1 er alinéa, lettres a et c, le contribuable peut justifier des frais plus élevés (art. 26 al. 2 LIFD). Pour l'activité lucrative indépendante , selon l'art. 18 al. 1 LIFD, sont imposables tous les revenus provenant de l'exploitation d'une entreprise commerciale, industrielle, artisanale, agricole ou sylvicole, de l'exercice d'une profession libérale ou de toute autre activité lucrative indépendante. Les contribuables exerçant une activité lucrative indépendante peuvent déduire les frais qui sont justifiés par l'usage commercial ou professionnel (art. 27 al. 1 LIFD); font notamment partie de ces frais les amortissements et provisions au sens des articles 28 et 29 LIFD et les pertes effectives sur des éléments de la fortune commerciale, à condition qu'elles aient été comptabilisées (art. 27 al. 2 lit. a et b LIFD). Le Tribunal fédéral a jugé qu'il résulte du texte même de l'art. 27 LIFD que des pertes ne sauraient être déduites qu'autant qu'elles se sont produites dans l'exercice d'une activité lucrative indépendante, soit d'une activité destinée à procurer un revenu à celui qui s'y livre. Les pertes consistent alors dans l'excédent des charges - soit de l'ensemble des dépenses engagées, conformément à l'usage commercial ou professionnel, en vue d'acquérir ce revenu - reporté au compte de résultats d'un exercice déterminé sur les produits réalisés pendant la même période (ATF 2A.40/2003 du 12 septembre 2003 consid. 2.2). b) En droit cantonal, pour le produit de l'activité lucrative dépendante , l'art. 20 al. 1 de la loi du 4 juillet 2000 sur les impôts directs cantonaux (LI; RSV 642.11) prévoit que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L'art. 30 al. 1 LI précise que les frais professionnels qui peuvent être déduits sont les frais de transport nécessaires du contribuable de son domicile à son lieu de travail, à la condition qu'ils ne soient pas remboursés par l'employeur (lettre a), les frais supplémentaires résultant des repas pris hors du domicile et du travail par équipes (lettre b), les autres frais indispensables à l'exercice de la profession (lettre c) et les frais de perfectionnement et de reconversion professionnels en rapport avec l'activité exercée (lettre d). Les frais professionnels mentionnés à l'al. 1, lettres a à c, sont estimés forfaitairement, sur la base de tarifs établis par le Département des finances, dans les cas de l'alinéa 1, lettres a et c, le contribuable peut justifier des frais plus élevés (art. 30 al. 2 LI). Pour l'activité lucrative indépendante , l'art. 21 al. 1 LI dispose que sont imposables tous les revenus provenant de l'exploitation d'une entreprise commerciale, industrielle, artisanale, agricole ou sylvicole, de l'exercice d'une profession libérale ou de toute autre activité lucrative indépendante. L'art. 31 LI prévoit que les contribuables exerçant une activité lucrative indépendante peuvent déduire les frais qui sont justifiés par l'usage commercial ou professionnel (al. 1) et que font notamment partie de ces frais les amortissements et les provisions au sens des articles 32 et 33 (lettre a), et les pertes effectives sur des éléments de la fortune commerciale, à condition qu'elles aient été comptabilisées (lettre b) (al. 2). c) Dans l'arrêt cité du 12 septembre 2003 (2A.40/2003 consid. 2.2 2 ème alinéa), le Tribunal fédéral a précisé que la notion d'activité lucrative indépendante est une notion de droit fiscal qui n'est pas définie clairement dans la pratique, eu égard aux états de fait diversifiés auxquels elle doit s'appliquer. De manière générale, on y englobe toute activité pour laquelle un entrepreneur participe à la vie économique à ses propres risques, avec l'engagement de travail et de capital, selon une organisation librement choisie, et avec l'intention de réaliser un bénéfice (ATF 125 II 113 consid. 5b p. 120; 121 I 259 consid. 3c p. 263; Ernst Blumenstein/Peter Locher, System des Steuerrechts,</w:t>
      </w:r>
    </w:p>
    <w:p>
      <w:r>
        <w:rPr>
          <w:b/>
        </w:rPr>
        <w:t>E. 6</w:t>
      </w:r>
    </w:p>
    <w:p>
      <w:r>
        <w:t>Vu ce qui précède, le recours doit être rejeté, les frais de justice étant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