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FI.2005.0040 vom 27. Juni 2006</w:t>
      </w:r>
    </w:p>
    <w:p>
      <w:r>
        <w:t>VD Tribunal cantonal, 2006-06-27, FR</w:t>
      </w:r>
    </w:p>
    <w:p>
      <w:r>
        <w:rPr>
          <w:b/>
        </w:rPr>
        <w:t xml:space="preserve">Quelle: </w:t>
      </w:r>
      <w:r>
        <w:t>https://mcp.opencaselaw.ch/entscheid/vd_omni_FI.2005.0040</w:t>
      </w:r>
    </w:p>
    <w:p>
      <w:r>
        <w:t>FR: VD_OMNI FI.2005.0040 du 27 juin 2006</w:t>
      </w:r>
    </w:p>
    <w:p>
      <w:r>
        <w:t>IT: VD_OMNI FI.2005.0040 del 27 giugno 2006</w:t>
      </w:r>
    </w:p>
    <w:p>
      <w:pPr>
        <w:pStyle w:val="Heading2"/>
      </w:pPr>
      <w:r>
        <w:t>Regeste</w:t>
      </w:r>
    </w:p>
    <w:p>
      <w:r>
        <w:t>X./ Service des automobiles et de la navigation | Confirmation du refus du SAN d'exonérer de la taxe automobile le recourant suite à un changement dans les directives ad hoc intervenu le 30 septembre 2004. L'art. 9 al. 2 let. b LTVCB est une Kannvorschrift qui laisse une liberté d'appréciation étendue au département. Recours rejeté.</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w:t>
      </w:r>
    </w:p>
    <w:p>
      <w:r>
        <w:rPr>
          <w:b/>
        </w:rPr>
        <w:t>E. 2</w:t>
      </w:r>
    </w:p>
    <w:p>
      <w:r>
        <w:t>A la lecture du dossier, et tout particulièrement du formulaire de demande d'exonération rempli par le recourant, il apparaît que ce dernier, s'il connaît assurément des problèmes de santé non négligeables, doit néanmoins pouvoir se déplacer à pied. On peut donc en déduire - en l'absence d'autre document plus probant, tel un certificat médical -que l'autonomie de l'intéressé sur le plan de la mobilité n'est pas entravé de manière significative. On remarque d'ailleurs qu'il utilise essentiellement son véhicule en relation avec des visites médicales. La décision attaquée se révèle conforme aux nouvelles directives adoptées au mois de septembre 2004; la plus grande sévérité de ce document explique que le recourant, s'il a été mis au bénéfice de l'exonération de la taxe en 2004, soit en revanche privé de cette facilité en 2005.</w:t>
      </w:r>
    </w:p>
    <w:p>
      <w:r>
        <w:rPr>
          <w:b/>
        </w:rPr>
        <w:t>E. 3</w:t>
      </w:r>
    </w:p>
    <w:p>
      <w:r>
        <w:t>Il reste toutefois à vérifier que les directives précitées, en tant qu'elles incorporent une nouvelle pratique, sont toujours conformes à la LTVCB, voire à d'autres textes encore. a) On l'a vu, l'art. 9 al. 2 let. b de la loi comporte une "Kannvorschrift" ; elle laisse au département une liberté d'appréciation étendue quant à la définition de l'ampleur de l'exonération (elle peut porter sur tout ou partie de la taxe), voire pour une délimitation plus précise du champ d'application de l'exonération. A cet égard, on note que l'exposé des motifs de la loi de 1976 est muet sur les objectifs poursuivis dans le cadre de cette disposition (BGC novembre 1976, p. 34 ss, spéc. p. 36). On note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b) Sans doute, on pourrait encore relever que, 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spéc. p. 13 ss et réf. citées).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FI.1998.0056 du 11 avril 2001 qui retient un assouplissement du principe de la légalité en présence de contributions peu élevées).</w:t>
      </w:r>
    </w:p>
    <w:p>
      <w:r>
        <w:rPr>
          <w:b/>
        </w:rPr>
        <w:t>E. 4</w:t>
      </w:r>
    </w:p>
    <w:p>
      <w:r>
        <w:t>Les considérations qui précèdent conduisent au rejet du pourvoi.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