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FI.2004.0117 vom 13. Januar 2006</w:t>
      </w:r>
    </w:p>
    <w:p>
      <w:r>
        <w:t>VD Tribunal cantonal, 2006-01-13, FR</w:t>
      </w:r>
    </w:p>
    <w:p>
      <w:r>
        <w:rPr>
          <w:b/>
        </w:rPr>
        <w:t xml:space="preserve">Quelle: </w:t>
      </w:r>
      <w:r>
        <w:t>https://mcp.opencaselaw.ch/entscheid/vd_omni_FI.2004.0117</w:t>
      </w:r>
    </w:p>
    <w:p>
      <w:r>
        <w:t>FR: VD_OMNI FI.2004.0117 du 13 janvier 2006</w:t>
      </w:r>
    </w:p>
    <w:p>
      <w:r>
        <w:t>IT: VD_OMNI FI.2004.0117 del 13 gennaio 2006</w:t>
      </w:r>
    </w:p>
    <w:p>
      <w:pPr>
        <w:pStyle w:val="Heading2"/>
      </w:pPr>
      <w:r>
        <w:t>Regeste</w:t>
      </w:r>
    </w:p>
    <w:p>
      <w:r>
        <w:t>X/ Administration cantonale des impôts, Administration fédérale des contributions | Il n'y a pas lieu de prendre en compte, au titre des déductions, des frais allégués, mais dont l'engagement n'est pas étayé par des pièces justificatives.</w:t>
      </w:r>
    </w:p>
    <w:p>
      <w:pPr>
        <w:pStyle w:val="Heading2"/>
      </w:pPr>
      <w:r>
        <w:t>Erwägungen</w:t>
      </w:r>
    </w:p>
    <w:p>
      <w:r>
        <w:rPr>
          <w:b/>
        </w:rPr>
        <w:t>E. 1</w:t>
      </w:r>
    </w:p>
    <w:p>
      <w:r>
        <w:t>a) Le litige porte sur la taxation définitive relativement à l’impôt cantonal et communal pour la période 1995-1996 et sur la taxation définitive relativement à l’impôt fédéral pour 1995, ainsi que sur l’amende, telles que fixées par la décision de l’ACI du 21 septembre 2004, réformant les décisions des 29 avril et 3 novembre 1997. A l’instar de l’ACI, et comme la jurisprudence lui permet de le faire, le Tribunal statuera en un seul arrêt sur le recours en tant qu’il a trait à l’impôt cantonal et communal, d’une part, et à l’impôt fédéral, d’autre part (ATF 131 II 553 consid. 4.2 p. 559; 130 II 509 consid. 8.3 p. 511). b) La loi sur les impôts directs cantonaux, du 4 juillet 2000 (LI ; RSV 642.11) a abrogé la loi homonyme, du 26 novembre 1956 (aLI), dès son entrée en vigueur le 1 er janvier 2001 (art. 278 et 279 LI). Les périodes de taxation litigieuses étant antérieures à cette époque, la matière est régie par l’ancienne loi. Pour ce qui est de l’impôt fédéral, s’applique la loi fédérale sur l’impôt fédéral direct, du 14 décembre 1990 (LIFD; RS 642.11), entrée en vigueur le 1 er janvier 1995. c) La motivation du recours, très succincte, se limite à une contestation générale de la décision attaquée. Les recourants ont annexé celle-ci à l’acte de recours, ainsi que le courrier du 25 janvier 2002; ils ont émaillé ces documents de toutes sortes d’annotations manuscrites, sur la base desquelles on peut retracer, non sans difficulté, une ligne d’argumentation. La question de savoir si ce procédé est admissible souffre de rester indécise, car le sort du recours est de toute manière scellé d’emblée. On relèvera que l’amende procédurale prononcée en application de l’art. 130 al. 1 aLI, n’est pas contestée.</w:t>
      </w:r>
    </w:p>
    <w:p>
      <w:r>
        <w:rPr>
          <w:b/>
        </w:rPr>
        <w:t>E. 2</w:t>
      </w:r>
    </w:p>
    <w:p>
      <w:r>
        <w:t>Les recourants invoquent la prescription. a) Hormis des exceptions non réalisées en l’espèce, le droit de taxer se prescrit par quatre ans après la fin de la période de taxation, pour ce qui est de l’impôt cantonal et communal (art. 98 al. 1 aLI), par cinq ans pour ce qui est de l’impôt fédéral (art. 120 al. 1 LIFD). La prescription ne court pas ou est suspendue notamment pendant la durée des procédures de réclamation, de recours ou de révision (art. 98 al. 2 let. a aLI ; art. 120 al. 2 let. a LIFD). Elle est interrompue par tout acte de l’autorité tendant à fixer ou faire valoir la créance d’impôt (art. 98 al. 3 aLI; art. 120 al. 3 let. a LIFD). La prescription est acquise, dans tous les cas, douze ans après la fin de la période de taxation, pour ce qui est de l’impôt cantonal et communal (art. 98 al. 4 aLI), après quinze ans pour ce qui est de l’impôt fédéral (art. 120 al. 4 LIFD). Quant aux créances fiscales, elles se prescrivent par cinq ans dès l’entrée en force de la décision qui les fonde (art. 118 al. 1 aLI ; art. 121 al. 1 LIFD). b) En l’occurrence, les décisions de taxation ont été rendues en 1997, soit dans le délai de quatre et cinq ans fixé par les art. 98a al. 1 aLI et 120 al. 1 LIFD. Le délai de prescription a été interrompu par les procédures de réclamation ouvertes par les recourants. La prescription absolue ne sera atteinte qu’au 31 décembre 2007, respectivement au 31 décembre 2010. La créance fiscale n’est pas davantage prescrite, puisque les décisions de taxation – qui font l’objet du présent recours - ne sont pas entrées en force.</w:t>
      </w:r>
    </w:p>
    <w:p>
      <w:r>
        <w:rPr>
          <w:b/>
        </w:rPr>
        <w:t>E. 3</w:t>
      </w:r>
    </w:p>
    <w:p>
      <w:r>
        <w:t>Les recourants contestent divers éléments retenus en relation avec la déclaration d’impôt pour la période considérée. a) Est imposable le revenu provenant d’une activité lucrative indépendante (art. 20 al. 2 let. b aLI ; art. 17 al. 1 LIFD), ainsi que celui acquis en lieu et place d’une activité lucrative (art. 20 al. 2 let. a aLI et 23 let. a LIFD). Entrent dans cette dernière catégorie notamment les indemnités versées à titre compensatoire par les institutions d’assurance sociale, dont l’assurance-chômage (Peter Locher, Kommentar zum DBG, 1 ère partie, 1 ère éd., Bâle, 2001, n.20-22 ad art. 23 LIFD; cf. ATF 117 Ib 1 consid. 2c p. 3). Dans leur déclaration du 16 avril 1995, les recourants ont indiqué que A. X.________ exerçait une activité de courtier indépendant. Ils ont déclaré des revenus de 10'000 fr. en 1993 et 10'000 fr. en 1994. Les recourants prétendent qu’en réalité, le revenu réalisé aurait été nul, comme mentionné dans la déclaration du 17 novembre 1997. Il n’en demeure pas moins que ce montant correspond à ce que les recourants ont eux-mêmes indiqué, sans fournir la moindre explication quant à une erreur possible à ce propos. Il importe peu, de surcroît, que ces revenus proviennent d’une activité principale, comme l’ont indiqué les recourants, ou soient assimilés à des gains accessoires, comme retenu par l’ACI. S’agissant des gains de l’épouse, les recourants ont déclaré un revenu de 56'762 fr. pour 1993 et de 48'435 fr. pour 1994, le 16 avril 1995, ce dernier montant étant rabattu à 44'995 fr. dans la déclaration du 17 novembre 1997. Pour sa part, l’ACI a arrêté les revenus à 56'500 fr. pour 1993 et 46'943 fr. pour 1994, soit une moyenne de 51'721 fr. Elle a intégré dans le revenu de l’épouse le montant de l’indemnité de chômage due pour le mois de décembre 1994, mais touchée en janvier 1995. Les recourants semblent s’insurger contre ce mode de faire, sans que l’on discerne en quoi il serait contraire à la loi. b) Sont déductibles notamment les cotisations versées pour la constitution d’une forme reconnue de prévoyance individuelle liée (art. 23 let. ibis aLI; art. 33 al. 1 let. e LIFD). Les recourants ont déclaré des montants de 2006 fr. pour 1993 et de 1492 fr. pour 1994, que l’ACI a biffés, faute de justificatifs. Ce défaut n’ayant pas été guéri ultérieurement, la déduction demandée n’entre pas en ligne de compte (cf. art. 88 aLI; 124ss LIFD). c) Sont déductibles les frais de déplacement nécessaires entre le  domicile et le lieu de travail, ainsi que les frais supplémentaires pour les repas pris hors du domicile; pour l’usage d’un véhicule à moteur, la déduction est calculée de manière forfaitaire, sur la base d’un tarif kilométrique (art. 23 let. a et l aLI; art. 26 al. 1 let. a et b et al. 2 LIFD). Pour l’impôt fédéral, s’applique l’ordonnance édictée le 10 février 1993 par le Département fédéral des finances (RS 642.118.1). B. X.________ a été l’employée d’une compagnie aérienne à l’aéroport de Zurich-Kloten, en 1993 et durant six mois et deux semaines en 1994. Elle louait une chambre dans la localité d’2********, distante de deux kilomètres. Comme on ne pouvait raisonnablement attendre d’elle qu’elle parcourut ce trajet chaque jour à l’aller et au retour, elle était en droit de déduire les frais y relatifs (arrêt du Tribunal fédéral 2A.224/2004 du 26 octobre 2004, consid. 8.2ss; Felix Richner/Walter Frei/Stefan Kaufmann, Handkommentar zum DBG, Zurich, 2003, n.14-17 ad art. 26 LIFD; Peter Locher, op. cit., n. 8-16 ad art. 26 LIFD; Bruno Knüsel, in: Kommentar zum Schweizerischen Steuerrecht, I/2a, Zurich, 2000, n.18 ad art. 26 LIFD). Pour les frais de transport, les recourants ont déclaré, le 16 avril 1995, les montants de 8’760 fr. pour 1993 et de 5’400 fr. pour 1994; dans leur déclaration du 17 novembre 1997, ils les ont porté à respectivement 9’800 fr. et 6’700 fr. Dans sa décision du 29 avril 1997, la Commission a réduit ces montants à 4’311 fr. pour 1993 et 576 fr. pour 1994. Le</w:t>
      </w:r>
    </w:p>
    <w:p>
      <w:r>
        <w:rPr>
          <w:b/>
        </w:rPr>
        <w:t>E. 4</w:t>
      </w:r>
    </w:p>
    <w:p>
      <w:r>
        <w:t>Le recours doit ainsi être rejeté et la décision rendue le 21 septembre 2004 par l’ACI confirmée, tant pour ce qui concerne l’impôt cantonal et communal, que pour l’impôt fédéral. Les frais sont mis à la charge des recourants, qui succombent (art. 55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