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FI.2004.0091 vom 17. Januar 2006</w:t>
      </w:r>
    </w:p>
    <w:p>
      <w:r>
        <w:t>VD Tribunal cantonal, 2006-01-17, FR</w:t>
      </w:r>
    </w:p>
    <w:p>
      <w:r>
        <w:rPr>
          <w:b/>
        </w:rPr>
        <w:t xml:space="preserve">Quelle: </w:t>
      </w:r>
      <w:r>
        <w:t>https://mcp.opencaselaw.ch/entscheid/vd_omni_FI.2004.0091</w:t>
      </w:r>
    </w:p>
    <w:p>
      <w:r>
        <w:t>FR: VD_OMNI FI.2004.0091 du 17 janvier 2006</w:t>
      </w:r>
    </w:p>
    <w:p>
      <w:r>
        <w:t>IT: VD_OMNI FI.2004.0091 del 17 gennaio 2006</w:t>
      </w:r>
    </w:p>
    <w:p>
      <w:pPr>
        <w:pStyle w:val="Heading2"/>
      </w:pPr>
      <w:r>
        <w:t>Regeste</w:t>
      </w:r>
    </w:p>
    <w:p>
      <w:r>
        <w:t>X./ Administration cantonale des impôts, Administration fédérale des contributions | L'indemnité versée contre le retrait d'une opposition à un projet de construction est un revenu imposable au sens des art. 27 let. dLI et 23 let. dLIFD. C'est donc à bon droit que l'autorité de taxation a imposé les recourants sur cette indemnité. Recours rejeté.</w:t>
      </w:r>
    </w:p>
    <w:p>
      <w:pPr>
        <w:pStyle w:val="Heading2"/>
      </w:pPr>
      <w:r>
        <w:t>Erwägungen</w:t>
      </w:r>
    </w:p>
    <w:p>
      <w:r>
        <w:rPr>
          <w:b/>
        </w:rPr>
        <w:t>E. 1</w:t>
      </w:r>
    </w:p>
    <w:p>
      <w:r>
        <w:t>Le litige porte sur le point de savoir si l'indemnité perçue (140'000 fr., soit 130'000 fr. frais déduits) est imposable et sur quelle base elle l'est. D'emblée, il convient de noter que cette indemnité ne peut manifestement pas être assimilée à un gain immobilier imposable au sens de l'art. 64 LI, dans la mesure où elle ne constitue pas un acte d'aliénation de l'immeuble considéré. Les parties s'accordent d'ailleurs sur ce point.</w:t>
      </w:r>
    </w:p>
    <w:p>
      <w:r>
        <w:rPr>
          <w:b/>
        </w:rPr>
        <w:t>E. 2</w:t>
      </w:r>
    </w:p>
    <w:p>
      <w:r>
        <w:t>Par contre, l'indemnité obtenue pourrait être imposable en vertu de l'art. 27 let. d LI, sur le plan cantonal, et 23 let. d LIFD sur le plan fédéral, à la condition qu'elle ait été perçue en échange de la renonciation à l'exercice d'un droit. On rappelle qu'en l'occurrence, H. X.________a retiré, contre le versement d'une somme de 140'000 fr., une opposition formée contre un projet de construction à E.________. La doctrine assimile à juste titre une telle indemnité à un "autre revenu" au sens des art. 27 let. d LI et 23 let. d LIFD (cf. Peter Hagner, Angelo di Geronimo, Hans-Jurg Neuhaus, Gotthard Steinmann, Commentaire de la loi sur l'impôt fédéral direct, complément, Zurich 2001, p. 4 et 5; cf. également Peter Locher, Kommentar zum DBG, Bâle 2001, p. 590). Force est d'admettre dès lors que l'indemnité considérée est un revenu imposable au sens de la disposition précitée. Pour ce motif déjà, le recours est mal fondé. Certes, Locher assujettit une telle imposition à une éventuelle perte de valeur de l'immeuble. Cet auteur, qui fait allusion au retrait d'une opposition à un plan de quartier ("Ortsplan Revision"), estime ainsi que si le bien-fonds subit une diminution de valeur en raison de la construction projetée, l'indemnité peut, pour partie, représenter une compensation de la moins-value et, en tant que gain en capital (art. 16 al. 3 LIFD), être franche d'impôt (Locher, op. cit., p. 590). L'hypothèse émise par Locher n'est toutefois pas applicable au cas d'espèce. En effet, il n'est nullement établi que l'indemnité versée ait été destinée à compenser une quelconque dépréciation de l'immeuble des recourants en relation avec le projet complémentaire de construction querellé. Cela ne ressort déjà pas de la transaction conclue, qui est lapidaire. La correspondance du 18 juin 2001 de Jean Wicki pour le Consortium F.________ et consorts est nettement plus explicite. Il en ressort que l'indemnité considérée a été versée pour permettre au constructeur de démarrer les travaux et, ce faisant, de ne pas s'exposer à des frais sous forme d'intérêts bancaires supplémentaires. Il n'a ainsi jamais été question d'indemniser H. X.________pour la perte de valeur de sa propriété, dans l'esprit du constructeur à tout le moins. La réalité même de cette perte de valeur est au demeurant douteuse en l'occurrence. Il résulte en effet du dossier AC.2001.0047 relatif à l'opposition formée par H.________, qui a été produit dans la présente cause, que l'intéressé n'a pas invoqué des motifs propres à sa propriété, mais s'est pour l'essentiel plaint des conséquences du projet complémentaire, et en particulier des deux voies d'accès supplémentaires prévues, sur la sécurité du trafic et des piétons. Examinés sous l'angle d'une éventuelle moins-value de l'immeuble, ces arguments ne sont pas convaincants. Ils ne font en effet pas état d'une atteinte directe qui serait de nature à dévaluer la propriété des recourants, mais ont trait de façon plus générale à la dangerosité que revêt le projet complémentaire pour les usagers du chemin de G.________. Ce grief semble par ailleurs dénué de fondement: le chemin de G.________ a en effet été constitué en rue résidentielle avec limitation de la vitesse à 30 km/h. Il a de plus été aménagé de telle sorte que le trafic soit ralenti (par l'installation notamment de bacs de fleurs installés tout au long de ce chemin) et la sécurité des riverains garantie (présence de trottoirs). Pour le reste, H. X.________s'est également plaint dans le cadre de la procédure considérée du risque de suppression de certaines places de parc le long de la construction projetée. Le tribunal ne voit toutefois pas en quoi cette mesure, qui semble du reste ne pas faire partie du projet mis à l'enquête, entraînerait une moins-value de la propriété des recourants. En définitive, pour ces motifs également, le recours s'avère mal fondé.</w:t>
      </w:r>
    </w:p>
    <w:p>
      <w:r>
        <w:rPr>
          <w:b/>
        </w:rPr>
        <w:t>E. 3</w:t>
      </w:r>
    </w:p>
    <w:p>
      <w:r>
        <w:t>L'audience sollicitée par les recourants en vue de faire entendre C. X.________ ainsi que Jean Wicki n'est pas nécessaire. En effet, comme déjà relevé en cours d'instruction, la position des intéressés est connue du tribunal. Celle d'C. X.________ a ainsi été exprimée au travers des différentes écritures produites alors que celle de Jean Wicki ressort du dossier AC.2001.0047, et en particulier du courrier qu'il a transmis au tribunal en date du 18 juin 2001. Les recourants ont en outre requis une inspection locale afin que la Cour de céans puisse, de visu, évaluer à quel point les nouvelles constructions auraient dénaturé le site et l'environnement du quartier dans lequel se trouve leur propriété. Une telle mesure d'instruction est également superflue, dès lors que le tribunal est d'ores et déjà en mesure de se faire une idée précise de l'impact de la construction projetée sur la base du dossier AC.2001.0047 (relatif à l'opposition considérée) qui a été produit dans la présente cause.</w:t>
      </w:r>
    </w:p>
    <w:p>
      <w:r>
        <w:rPr>
          <w:b/>
        </w:rPr>
        <w:t>E. 4</w:t>
      </w:r>
    </w:p>
    <w:p>
      <w:r>
        <w:t>Enfin, l'indemnité litigieuse a, certes, été versée à H.________, qui s'est chargé de l'opposition et du recours auprès de la Cour de céans. Toutefois, il résulte du dossier que l'indemnité en question a été répartie par moitié pour chacun des couples à raison de 65'000 fr. (130'000 fr. ./. 2). Partant, c'est à bon droit que l'autorité intimée a taxé chacun des couples pour la part de l'indemnité perçue.</w:t>
      </w:r>
    </w:p>
    <w:p>
      <w:r>
        <w:rPr>
          <w:b/>
        </w:rPr>
        <w:t>E. 5</w:t>
      </w:r>
    </w:p>
    <w:p>
      <w:r>
        <w:t>Il résulte des considérants qui précèdent que les décisions de taxation du 24 mars 2004, fixant l'impôt cantonal et communal dû pour chacun des couples recourants à 4'458 fr. 15 et l'impôt fédéral direct à 901 fr. sont bien fondées. Le recours doit dès lors être rejeté et la décision attaquée confirmée. Par ailleurs, un émolument d'arrêt sera mis à la charge des recourants, qui succombent et qui, pour ce motif, n'ont pas droit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