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FI.2004.0084 vom 31. Januar 2006</w:t>
      </w:r>
    </w:p>
    <w:p>
      <w:r>
        <w:t>VD Tribunal cantonal, 2006-01-31, FR</w:t>
      </w:r>
    </w:p>
    <w:p>
      <w:r>
        <w:rPr>
          <w:b/>
        </w:rPr>
        <w:t xml:space="preserve">Quelle: </w:t>
      </w:r>
      <w:r>
        <w:t>https://mcp.opencaselaw.ch/entscheid/vd_omni_FI.2004.0084</w:t>
      </w:r>
    </w:p>
    <w:p>
      <w:r>
        <w:t>FR: VD_OMNI FI.2004.0084 du 31 janvier 2006</w:t>
      </w:r>
    </w:p>
    <w:p>
      <w:r>
        <w:t>IT: VD_OMNI FI.2004.0084 del 31 gennaio 2006</w:t>
      </w:r>
    </w:p>
    <w:p>
      <w:pPr>
        <w:pStyle w:val="Heading2"/>
      </w:pPr>
      <w:r>
        <w:t>Regeste</w:t>
      </w:r>
    </w:p>
    <w:p>
      <w:r>
        <w:t>X/ Service des automobiles et de la navigation | Révocation du droit de circuler prononcée ensuite de non-paiement de la taxe automobile. La recourante n'établit pas avoir informé le SAN de son changement d'adresse (ignoré également de l'assureur RC). Les communications de l'autorité sont donc régulières et l'intervention du SAN fondée. Confirmation de l'émolument de décision de 200 francs.</w:t>
      </w:r>
    </w:p>
    <w:p>
      <w:pPr>
        <w:pStyle w:val="Heading2"/>
      </w:pPr>
      <w:r>
        <w:t>Erwägungen</w:t>
      </w:r>
    </w:p>
    <w:p>
      <w:r>
        <w:rPr>
          <w:b/>
        </w:rPr>
        <w:t>E. 1</w:t>
      </w:r>
    </w:p>
    <w:p>
      <w:r>
        <w:t>Le permis de circulation peut être refusé (cf. art. 11 al.</w:t>
      </w:r>
    </w:p>
    <w:p>
      <w:r>
        <w:rPr>
          <w:b/>
        </w:rPr>
        <w:t>E. 2</w:t>
      </w:r>
    </w:p>
    <w:p>
      <w:r>
        <w:t>Aux termes de l’art. 4 RESA (en vigueur jusqu’au 31 décembre 2004), la procédure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Pour le surplus, dans un arrêt FI.1998.0068 du 13 octobre 1998, le Tribunal administratif, saisi d'un recours dirigé contre la taxe prévue à l'art. 4 RESA, a jugé, au terme d'une analyse détaillée, que cet émolument respectait, conformément au droit fédéral, les deux principes dérivés du principe de la proportionnalité : celui de la couverture des frais, d'une part, et celui de l'équivalence, d'autre part (cf. Moor, Droit administratif, vol. III, no 7.2.4.3; arrêt confirmé dans FI.2004.0121 du 1 er mars 2005, cf. aussi ATF 106 Ia 241, consid. 3b). Le rappel des principes qui précèdent conduit à constater, qu’un émolument est dû pour l’intervention justifiée de l’autorité intimée, et que le montant de cet émolument est conforme au règlement. 3.              Le recours est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