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FI.2003.0011 vom 29. April 2004</w:t>
      </w:r>
    </w:p>
    <w:p>
      <w:r>
        <w:t>VD Tribunal cantonal, 2004-04-29, FR</w:t>
      </w:r>
    </w:p>
    <w:p>
      <w:r>
        <w:rPr>
          <w:b/>
        </w:rPr>
        <w:t xml:space="preserve">Quelle: </w:t>
      </w:r>
      <w:r>
        <w:t>https://mcp.opencaselaw.ch/entscheid/vd_omni_FI.2003.0011</w:t>
      </w:r>
    </w:p>
    <w:p>
      <w:r>
        <w:t>FR: VD_OMNI FI.2003.0011 du 29 avril 2004</w:t>
      </w:r>
    </w:p>
    <w:p>
      <w:r>
        <w:t>IT: VD_OMNI FI.2003.0011 del 29 aprile 2004</w:t>
      </w:r>
    </w:p>
    <w:p>
      <w:pPr>
        <w:pStyle w:val="Heading2"/>
      </w:pPr>
      <w:r>
        <w:t>Regeste</w:t>
      </w:r>
    </w:p>
    <w:p>
      <w:r>
        <w:t>c/ACI | La donation mixte doit être soumise au droit de mutation pour sa partie onéreuse et à l'impôt sur les donations pour sa partie gratuite (précision de jurisprudence).</w:t>
      </w:r>
    </w:p>
    <w:p>
      <w:pPr>
        <w:pStyle w:val="Heading2"/>
      </w:pPr>
      <w:r>
        <w:t>Volltext</w:t>
      </w:r>
    </w:p>
    <w:p>
      <w:r>
        <w:t>Vaud Tribunal cantonal Cour de droit administratif et public 29.04.2004 FI.2003.0011</w:t>
      </w:r>
    </w:p>
    <w:p>
      <w:r>
        <w:t>c/ACI | La donation mixte doit être soumise au droit de mutation pour sa partie onéreuse et à l'impôt sur les donations pour sa partie gratuite (précision de jurisprudence).</w:t>
      </w:r>
    </w:p>
    <w:p>
      <w:r>
        <w:t>Waadt Cour de droit administratif et public Vaud Tribunal cantonal Cour de droit administratif et public Vaud Cour de droit administratif et public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