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FI.2002.0043 vom 10. März 2003</w:t>
      </w:r>
    </w:p>
    <w:p>
      <w:r>
        <w:t>VD Tribunal cantonal, 2003-03-10, FR</w:t>
      </w:r>
    </w:p>
    <w:p>
      <w:r>
        <w:rPr>
          <w:b/>
        </w:rPr>
        <w:t xml:space="preserve">Quelle: </w:t>
      </w:r>
      <w:r>
        <w:t>https://mcp.opencaselaw.ch/entscheid/vd_omni_FI.2002.0043</w:t>
      </w:r>
    </w:p>
    <w:p>
      <w:r>
        <w:t>FR: VD_OMNI FI.2002.0043 du 10 mars 2003</w:t>
      </w:r>
    </w:p>
    <w:p>
      <w:r>
        <w:t>IT: VD_OMNI FI.2002.0043 del 10 marzo 2003</w:t>
      </w:r>
    </w:p>
    <w:p>
      <w:pPr>
        <w:pStyle w:val="Heading2"/>
      </w:pPr>
      <w:r>
        <w:t>Regeste</w:t>
      </w:r>
    </w:p>
    <w:p>
      <w:r>
        <w:t>c/ACI | Le fardeau de la preuve du montant de la commission d'apporteur, susceptible d'être déduite du résultat généré par la cession d'une part à une société en commandite simple, incombe au contribuable; en l'espèce, celui-ci n'est pas parvenu à établir que la commission présentait une valeur supérieure au montant versé en cash (même si sa prestation portait aussi sur d'autres éléments: cession de titres, abandon de créances).</w:t>
      </w:r>
    </w:p>
    <w:p>
      <w:pPr>
        <w:pStyle w:val="Heading2"/>
      </w:pPr>
      <w:r>
        <w:t>Erwägungen</w:t>
      </w:r>
    </w:p>
    <w:p>
      <w:r>
        <w:rPr>
          <w:b/>
        </w:rPr>
        <w:t>E. 21</w:t>
      </w:r>
    </w:p>
    <w:p>
      <w:r>
        <w:t>al. 2 de la loi du 4 juillet 2001 sur le même objet - ci-après: LI; v. enfin art. 18 al. 2 et 47 de la loi fédérale sur l'impôt fédéral direct - ci-après LIFD -, étant précisé que ces différentes dispositions prévoient des systèmes similaires). c) aa) La jurisprudence exige en premier lieu que le goodwill, dans la mesure où il s'agit d'une valeur immatérielle et non mesurable, doit être amorti aussi rapidement que possible, soit dans la règle sur une période de cinq ans (Archives 55, 280 = RDAF 1988, 29; v. également Jean-Marc Rivier, La fiscalité de l'entreprise, société anonyme, 1994, p. 219 et références citées). Les amortissements doivent cependant être prouvés par une comptabilité régulière ou, à tout le moins, apparaître dans des tableaux d'amortissements (v. dans ce sens art. 32 al. 1 LI; même si cette disposition n'était pas applicable en 1993 et 1994, elle n'en exprime pas moins la pratique alors en usage). Selon la jurisprudence, l'amortissement d'un goodwill acquis à titre onéreux doit être réparti sur plusieurs années, selon un taux correspondant à une moins-value moyenne et d'après un plan méthodique, car la dépréciation effective subie chaque année ne se prête pas à une appréciation exacte (Archives 16, 34, consid 2, p. 36). bb) Dans le cas d'espèce, il apparaît que le recourant a précisément fait valoir pour les années de calcul 1991 et 1992, des amortissements annuels de 20% (ce qui aurait porté la durée d'amortissement totale à cinq ans); il n'a renoncé à le faire que pour l'année de calcul 1993, celle-ci entrant dans la brèche de calcul précédant la fin de son assujettissement liée à l'exercice de son activité indépendante. cc) Le recourant fait valoir qu'il bénéficiait d'une large liberté d'appréciation sur le point de savoir s'il y avait lieu ou non d'opérer en 1993 un nouvel amortissement de son goodwill. Sur le principe, cette remarque est exacte, le chef d'entreprise ou celui qui exerce une activité indépendante ayant la faculté, mais non l'obligation de constituer des réserves latentes. En revanche, si l'actif concerné se déprécie effectivement, celui-ci doit, pour respecter les principes d'une comptabilité régulière, le constater dans ses comptes, par le biais d'un amortissement (dans ce sens, v. Archives 55, 280 précité). Dans le cas d'espèce, le recourant a d'abord procédé on l'a vu à des amortissements annuels de 20%, admettant ainsi la nécessité de constater comptablement la moins-value de la valeur immatérielle que constitue le goodwill. Il n'a invoqué aucun motif particulier de nature à justifier une interruption de cet amortissement, afin de s'écarter de la pratique usuelle - à laquelle il s'était pourtant rallié dans un premier temps - d'un amortissement du goodwill sur une période de 5 ans. La jurisprudence considère que, lorsque le contribuable s'écarte de son plan d'amortissement au cours d'une période tombant dans la brèche fiscale, il réalise ainsi des réserves latentes, imposables dans le cadre de la taxation du bénéfice en capital ici en cause (Archives 55, 280 précité; voir également TA, FI 98/0061 du 28 octobre 1998, confirmé par ATF du 30 septembre 1999, 2P.433/1998, qui a trait à une réévaluation comptable d'un goodwill et d'actifs mobiliers; Peter Locher, Kommentar zum DBG I, Bâle 2001, no 96 ad art. 18 LIFD et références citées). 2.                     Les parties sont par ailleurs d'accord sur le fait que la commission que le recourant a versée à un tiers, correspondant à une part de ce dernier au bénéfice réalisé lors de la vente de la participation dans la banque, doit pouvoir être déduite pour le calcul du montant du gain en capital imposable; elles divergent toutefois sur le montant de cette déduction, puisque l'autorité fiscale intimée admet une déduction de 750'000 fr., alors que le recourant invoque pour sa part un montant total de 1'786'230 fr. A.________, pour sa part, soutient que la commission qu'il a reçue, soit 750'000 fr., est compensée par un montant de quelque 1'070'000 fr., qu'il a versée au Crédit Suisse pour libérer le recourant du cautionnement qu'il avait souscrit auprès de cette banque à titre de garantie des obligations de la société D.________ SA. a) Le tribunal constate tout d'abord qu'il s'agit d'un seul et même complexe de faits, lié à la transaction signée par les intéressés le 17 janvier 1995. A cet égard, si la thèse soutenue par le recourant dans le cas d'espèce est exacte, l'assiette du bénéfice en capital ici litigieux s'en trouvera réduite, mais le revenu imposable d'A.________ pourrait s'en trouver augmenté d'autant. La même remarque - mais avec les effets inverses - peut être faite au sujet de la thèse soutenue par A.________; l'impôt sur le revenu de ce dernier, en relation avec la commission précitée, pourrait être réduit à 0, mais le revenu de X.________ pourrait quant à lui s'en trouver accru. L'ACI, pour sa part, s'en tient strictement au texte de la transaction, en retenant que la commission versée en application de l'engagement pris par le recourant envers A.________ courant novembre 1990 ascendait exclusivement à un montant de 750'000 francs. Pour elle, les autres éléments de la transaction ne concernaient pas la vente par le recourant de sa participation dans la banque, mais d'autres opérations conduites en commun par les deux intéressés; ces dernières ayant trait selon l'ACI à leur fortune privée, elles ne peuvent aboutir à l'admission de pertes déductibles (v. à ce propos art. 23 al. 1 let. c aLI; dans ce sens v. arrêts FI 99/0037, du 17 août 2000, consid. 4 et les réf. citées, et FI 93/0098 du 19 novembre 1993). b) Il est nécessaire de procéder à une analyse serrée des éléments de la transaction conclue entre les deux intéressés, de manière à identifier, dans la mesure du possible, les prestations et contre-prestations convenues. Ce ne sera que dans un second temps qu'il sera possible de qualifier ces différents éléments, que ce soit pour examiner les prétentions à la déduction présentées par le recourant, respectivement pour chiffrer le revenu (voire la perte) réalisé(e) par son cocontractant. Telle est d'ailleurs la démarche suivie en l'espèce par les parties dans leurs écritures. aa) L'ACI s'en tient à une lecture littérale du chiffre IV de la transaction; celle-ci précise que la somme de 750'000 fr. représente "le montant arrêté d'un commun accord de la participation d'A.________ à la plus-value réalisée par X.________ lors de la vente de sa participation dans B.________ &amp; Cie banquiers, selon lettre des 19 et 25 novembre 1990" . Au demeurant, le texte de la transaction ne se réfère par ailleurs à la créance y relative d'A.________ que très brièvement, soit dans l'exposé préliminaire de celle-ci (p. 4, chiffre 4, 3e al.). Pour sa part, le recourant soutient, on l'a vu, que les prestations qu'il a versées à A.________, en relation avec la vente de sa participation à la banque, ne se limitaient pas à la somme de 750'000 fr., versée en cash, mais comportaient également la remise des actions des sociétés C.________ et D.________, ainsi qu'une cession de créances (art. III et VI de la transaction); en d'autres termes le recourant reproche à l'ACI de passer sous silence ces autres points de la transaction, mais il omet lui-même d'évoquer le chiffre V de celle-ci, alors que les chiffres III et VI s'y réfèrent expressément. A.________, au contraire, invoque exclusivement le chiffre V de ce document, à savoir le versement de quelque 1'070'000 fr. qu'il a effectué afin que le recourant et lui-même soient libérés du cautionnement qu'ils avaient consenti pour garantir les obligations de D.________ SA auprès du Crédit Suisse. bb) A titre préliminaire, on formulera ici quelques brefs rappels relatifs au fardeau de la preuve en matière fiscale. Dans ce domaine, il appartient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1998, no 8 p. 393; Walter Ryser/Bernard Rolli, Précis de droit fiscal suisse 3ème éd., Berne 1994, p. 58/59). La jurisprudence du Tribunal administratif, s'agissant notamment de la preuve de déductions ou de charges invoquées par le contribuable, retient la même solution (voir à titre d'exemple TA arrêt FI 00/0003, du 29 juin 2000, où est analysée en outre la portée de la maxime d'office et sa relation avec le problème du fardeau de la preuve; voir également arrêts FI 97/0049 du 15 avril 1999 et FI 92/0082 du 12 février 1993). On relèvera au surplus que la jurisprudence considère, lorsqu'elle est confrontée à des actes émanants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(Archives 47, 536, = RDAF 1979, 35; Archives 58, 516; TA FI 91/0036, du 6 octobre 1993, consid. 3). Dans le cas d'espèce, le contribuable invoque une commission d'un montant total de 1'786'000 fr., dont seule une partie a été versée en cash; il reste que la preuve de la quotité de cette commission lui incombe et que le tribunal ne saurait s'écarter sans raison du texte de la transaction qu'il a conclue avec A.________. cc) Il convient ainsi d'examiner maintenant les arguments invoqués par les deux intéressés au sujet de l'interprétation et de la portée de la transaction précitée. On se souvient que, outre la somme de 750'000 fr. versée en cash par le recourant à A.________, ce dernier a reçu de son cocontractant des actions C.________ SA et D.________ SA pour 1 fr. (chiffre III de la transaction); il a bénéficié également d'un abandon "à titre gratuit" des créances détenues par le recourant à l'encontre de ces deux sociétés (chiffre VI de la transaction). Le recourant soutient à cet égard qu'il convient d'aller au-delà de la formulation de la transaction, dans la mesure où tant les actions qu'il a cédées que les créances abandonnées présentaient une valeur économique substantielle, valeur qu'il chiffre au total à 1'000'000 fr. environ. Au demeurant, A.________, au cours des discussions précédant cette transaction, aurait émis des prétentions élevées au sujet de sa part au bénéfice lié à la vente de la participation dans la banque, de l'ordre de 3'000'000 fr., soit des montants bien supérieurs à la somme de 750'000 fr. versée en cash (v. à cet égard les échanges de correspondances produits à ce propos par le recourant, ainsi que sa note du 11 décembre 1995); le recourant y voit un indice que la prestation finale servie à A.________ comprenait non seulement le montant précité, mais aussi des prestations en nature d'une valeur de 1'000'000 fr. environ. Le recourant fait valoir au surplus que la libération du cautionnement, dont il a bénéficié par le jeu du remboursement du crédit accordé par le Crédit Suisse à D.________ SA, constituait une prestation sans réelle valeur économique. Sur l'ensemble de ces différents points, on notera qu'A.________ adopte la position inverse (les actions des sociétés C.________ SA et D.________ SA seraient des non-valeurs, de même que les abandons de créance envers ces sociétés; la libération du cautionnement devant au contraire être évaluée au montant total du crédit remboursé). Ce sont ces différents points qu'il convient d'analyser maintenant l'un après l'autre. aaa) S'agissant tout d'abord des actions C.________ SA, l'expertise établie le 9 août 1994 par André Saugy constate que les deux intéressés, qui étaient alors administrateurs de la société, ont reçu en 1992 des honoraires d'administrateur, afférant aux années 1989 à 1991, s'élevant à un total de 290'000 fr. (voir les réponses de l'expert à la question 4, p. 10). Par ailleurs, cette société a dégagé entre janvier et fin novembre 1992 un cash flow de 420'000 fr. environ (ce montant s'entendant avant honoraires aux administrateurs; voir à ce propos réponse à la question 3, p. 8). De surcroît, cette société exploitait alors le "E.________" , à 1********. Au demeurant, une offre d'achat de cet établissement avait été présentée à X.________ le 27 septembre 1991, pour une somme de 2'200'000 francs. Par ailleurs, A.________ avait lui-même souscrit à une convention de vente à terme portant sur 50% du capital-actions de cette société pour 550'000 fr. (contrat de vente à terme du 4 février 1992; celui-ci prévoyait l'acquisition par X.________ de ces titres pour le cas où A.________ ne serait pas en mesure de restituer une avance de 550'000 fr. au terme du 30 juin 1993; or ce remboursement a eu lieu, de sorte que la vente n'est pas venue à chef). A.________ conteste toutefois la portée de ce dernier document, qu'il a souscrit, selon lui, sous la pression des événements; il fait valoir également l'évolution ultérieure de la santé financière d'C.________ SA. Appréciant l'ensemble de ces éléments, le tribunal retient - notamment sur la base de l'avis de son assesseur spécialisé - que les titres de la société C.________ SA, au moment de la transaction passée en 1995, présentaient une valeur économique réelle, le montant de 550'000 fr. retenu par le recourant dans ses écritures apparaissant comme plausible. A.________ fait valoir qu'il était aux abois lorsqu'il a souscrit à la vente à terme de 1992; cela paraît plausible, mais on devrait alors plutôt en conclure que le prix qu'il a consenti alors pour se dessaisir de ses titres C.________ SA était inférieur à leur valeur réelle. Il soutient pourtant la thèse inverse dans la présente procédure, mais, pour les motifs qui précèdent, sans emporter la conviction de l'autorité de céans. Par ailleurs C.________ SA apparaissait en 1995 comme une entreprise solvable, de sorte que la créance détenue par le recourant à l'encontre de C.________ SA et abandonnée par lui dans le cadre de la transaction pouvait être évaluée à sa valeur nominale de 426'232 francs. Certes, A.________ conteste l'existence de cette créance, sans convaincre toutefois. L'expertise Saugy déjà citée atteste au contraire de l'existence de cette créance (réponse à la question 12, p. 18s). A.________ fait valoir, il est vrai, les comptes de C.________ SA clos au 31 décembre 1993, aux termes desquels cette créance a été passée par pertes et profits au titre d'un abandon de créance; toutefois aucune pièce ne démontre l'existence d'un abandon de créance à cette date de la part du recourant. En réalité C.________ SA sous la gestion d'A.________, s'est bornée à contester cette créance, sur la base d'éléments qui apparaissent en l'état peu clairs. Enfin, la transaction, sous chiffre VI, fait état de cette créance, ce qui signifie à tout le moins que l'inexistence de celle-ci n'était pas démontrée. En d'autres termes, le tribunal retient à cet égard que tant les actions de C.________ SA que la créance contre cette société présentaient une valeur réelle de 976'232 fr. au total ( cela malgré les termes de la convention). bbb) La valeur de D.________ SA, en revanche, paraît moins aisée à cerner. L'expert Saugy a tout d'abord mis en évidence divers transferts de C.________ SA au bénéfice de la société D.________ SA ou des créanciers de cette dernière société durant la période courant du 1er janvier 1992 au 8 décembre suivant (réponse à la question 5, p. 12); en outre, sans ces transferts à hauteur de 292'764 fr. 95, D.________ SA aurait été exposée à un risque concret de faillite (réponse à la question 6, p. 12). Le recourant a par ailleurs produit une lettre du 13 mars 1995 à son mandataire, dans laquelle il lui annonce les paiements et cessions effectués en vue du règlement de la commission d'apporteur due à A.________; ce document mentionne la cession de 50% des actions D.________ et la cession de deux créances contre D.________ SA de 97'788 fr. 85 et 592'885 fr. 65. Cette pièce est annotée (on ignore si les commentaires manuscrits ont été opérés par le recourant lui-même ou son conseil); quoi qu'il en soit, tant les actions D.________ SA que les créances à l'encontre de cette société sont évaluées, selon la mention manuscrite portée en surcharge sur ce document, à un montant de l'ordre de 0 franc. Le recourant tente de réfuter cette appréciation en faisant valoir divers éléments. Il produit ainsi une note de sa main du 22 octobre 1994, selon laquelle il aurait reçu une offre pour D.________ SA (établissement public) pour un montant de l'ordre de 1,2 million (annexe B/1 à sa correspondance du 2 octobre 2002). Par ailleurs, l'établissement public précité avait été remis à bail dès 1992 pour un montant de 108'000 fr. par an, qui paraît avoir été régulièrement versé (annexe B/2 et 3 à ce même courrier). Aux yeux du recourant ces documents attestent de la rentabilité de D.________ SA. La situation de D.________ SA ne s'est toutefois pas réellement modifiée en 1993 et 1994, malgré ce changement de mode d'exploitation. Les comptes des deux années en question, ainsi que le rapport de l'organe de révision pour l'année 1993 sont à cet égard éloquents. En substance, le solde laissé par le loyer encaissé dans le cadre de la sous-location de l'établissement ne permettait pas de couvrir à la fois les charges annuelles d'intérêts et l'amortissement nécessaire du mobilier, ainsi que du goodwill (l'organe de révision parlait à ce propos d'une charge annuelle d'amortissement évaluée à 200'000 fr.). Au vu de l'ensemble des éléments à sa disposition, le tribunal considère en définitive que les titres D.________ SA, ainsi que la créance que le recourant détenait contre cette société doivent être considérées comme des non-valeurs. ccc) L'évaluation de la viabilité de D.________ SA est décisive, non pas uniquement sur le point précité mais aussi et surtout au regard de l'appréciation à donner de la prestation fournie cette fois par A.________, relative à la libération du cautionnement solidaire consenti par les deux partenaires à titre de garantie du crédit accordé par le Crédit Suisse à D.________ SA. Sans doute A.________ a-t-il versé à cet égard une somme de 1'070'000 fr. au Crédit Suisse en vue de la libération de ce cautionnement. Cela ne signifie pas encore que cette prestation au recourant doive être évaluée au montant du capital précité. Le cautionnement est en effet une obligation conditionnelle; la valeur d'une libération de celle-ci doit donc être appréciée en fonction du risque d'engagement de la caution. On rappelle, dans un domaine voisin, que les cautionnements accordés par la société anonyme doivent figurer dans l'annexe au bilan (art. 663b ch. 1 CO). En outre, dès l'instant où naît un risque que la caution soit recherchée par le créancier, une provision doit être constituée dans les comptes; en règle générale, celle-ci devrait s'élever au montant maximal susceptible d'être versé, en application du principe de prudence  (Manuel suisse d'audit 1998 I ch. 2.3423, sp. p. 234; Ernst Känzig, Wehrsteuer I, 2e éd 1982, n o 39 ad art 22 AIFD, ainsi que les références citées; selon cet auteur, l'ampleur du risque de l'appel à la caution doit être évalué; sur la preuve du besoin de provision, v. Locher op. cit. n o</w:t>
      </w:r>
    </w:p>
    <w:p>
      <w:r>
        <w:rPr>
          <w:b/>
        </w:rPr>
        <w:t>E. 24</w:t>
      </w:r>
    </w:p>
    <w:p>
      <w:r>
        <w:t>ad 29 LIFD, qui se contente de la plausibilité de ce risque). Cette réglementation-là n'est d'ailleurs pas directement en cause ici, puisque D.________ SA n'apparaît pas ici comme la caution, mais au contraire comme la bénéficiaire de cette garantie. En l'espèce et selon les indications du recourant, le Crédit Suisse a dénoncé le crédit accordé à D.________ SA, apparemment en raison de mauvaises relations de cet établissement avec A.________. Dans la mesure où ce crédit n'était pas menacé - mais ce point n'est pas établi -, D.________ SA aurait pu obtenir un crédit de remplacement auprès d'un autre établissement; certes, les conditions offertes auraient sans doute été différentes, dans la mesure où les garanties fournies auraient été moindres (ici en raison de la disparition de l'une des deux personnes physiques offrant leur caution). Quoi qu'il en soit, même s'il n'est pas aisé de cerner de manière sûre la valeur de la prestation précitée de A.________ au recourant, le tribunal retient cependant que la situation économique de D.________ SA était menacée, de sorte que le risque de voir actionner la caution était élevé. En outre, vu la situation financière de chacun des deux partenaires, c'est vraisemblablement le recourant, en sa qualité de caution solidaire, qui aurait été recherché pour la totalité du crédit accordé à cette société; il n'est dès lors pas déraisonnable d'évaluer la prestation de A.________ ici en cause à un montant proche du nominal. En d'autres termes, cette dernière et celle fournie par le recourant s'élèvent toutes deux à une valeur de 1 million de francs environ. Au vu du texte de la transaction et des autres éléments du dossier, le tribunal admet ainsi en définitive que les parties sont convenues de donner à ces prestations et contre-prestations (cession d'actions et abandon de créances, s'agissant de C.________ SA surtout, d'une part; libération du cautionnement, d'autre part) une valeur sensiblement égale. Il ne voit en outre pas de motif évident qui devrait le conduire à compléter l'instruction sur ce point aux fins d'écarter cette appréciation. dd) Au terme de cet examen, le tribunal parvient ainsi à la conclusion que le recourant n'est pas parvenu à établir (alors que le fardeau de la preuve lui incombait sur ce point) que sa propre prestation - invoquée à titre de déduction dans le cadre de la détermination du bénéfice en capital imposable - est supérieure au montant de 750'000 fr. versé en cash. Cela conduit au rejet du recours sur ce second point. 3.                     Il résulte des considérants qui précèdent que le pourvoi est mal fondé sur tous les points. Le recourant, qui succombe, supportera dès lors les frais de la cause; il n'aura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