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FI.1998.0044 vom 30. Dezember 1998</w:t>
      </w:r>
    </w:p>
    <w:p>
      <w:r>
        <w:t>VD Tribunal cantonal, 1998-12-30, FR</w:t>
      </w:r>
    </w:p>
    <w:p>
      <w:r>
        <w:rPr>
          <w:b/>
        </w:rPr>
        <w:t xml:space="preserve">Quelle: </w:t>
      </w:r>
      <w:r>
        <w:t>https://mcp.opencaselaw.ch/entscheid/vd_omni_FI.1998.0044</w:t>
      </w:r>
    </w:p>
    <w:p>
      <w:r>
        <w:t>FR: VD_OMNI FI.1998.0044 du 30 décembre 1998</w:t>
      </w:r>
    </w:p>
    <w:p>
      <w:r>
        <w:t>IT: VD_OMNI FI.1998.0044 del 30 dicembre 1998</w:t>
      </w:r>
    </w:p>
    <w:p>
      <w:pPr>
        <w:pStyle w:val="Heading2"/>
      </w:pPr>
      <w:r>
        <w:t>Regeste</w:t>
      </w:r>
    </w:p>
    <w:p>
      <w:r>
        <w:t>c/ACI | Renvoi à la solution de l'arrêt Creveld, FI 98/0031, qui exclut le recours au TA en matière de remise d'impôts communaux.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LIC, les communes peuvent accorder des remises d'impôts aux conditions fixées par l'arrêté communal d'imposition. La compétence, en matière de remise du droit de mutation communal, appartient dès lors bien à la municipalité, la question se posant de savoir si sa décision en cette matière est ou non susceptible d'un recours; dans l'affirmative d'ailleurs, le pourvoi relèverait au préalable de la compétence de la Commission communale de recours en matière d'impôts de Chavannes-près-Renens et non pas directement du Tribunal administratif. Il n'y a cependant pas lieu de renvoyer la cause sur ce point à la commission précitée. Statuant récemment dans le cadre d'une autre affaire, le Tribunal administratif a retenu en effet que les décisions rendues en matière de remise d'impôts communaux n'ouvraient pas la voie du recours auprès de la commission instituée à l'art. 45 LIC (arrêt du 28 décembre 1998, FI 98/0031), confirmant ainsi la jurisprudence de la Commission cantonale de recours en matière d'impôt (arrêt M. c/Yverdon-les-Bains du 21 juin 1984). Cette solution converge au demeurant avec celle découlant, en matière d'impôt cantonal, de l'art. 120 al. 3 LI ou, s'agissant de l'impôt fédéral direct, de l'art. 167 al. 3 LIFD; il en va de même encore de la jurisprudence du Tribunal fédéral, rendue sur recours de droit public, laquelle considère comme irrecevable les pourvois relatifs à des refus de remise d'impôts, au motif que de tels actes sont analogues à la grâce et partant ne présentent pas un caractère justiciable (v. par exemple ATF 122 I 373 et 112 Ia 93). 5.                     Vu l'issue du pourvoi, la recourante supportera un émolument d'arrêt, ses conclusions en dépens étant au surplus écartées (art. 55 LJPA).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