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FI.1998.0027 vom 1. Juli 1999</w:t>
      </w:r>
    </w:p>
    <w:p>
      <w:r>
        <w:t>VD Tribunal cantonal, 1999-07-01, FR</w:t>
      </w:r>
    </w:p>
    <w:p>
      <w:r>
        <w:rPr>
          <w:b/>
        </w:rPr>
        <w:t xml:space="preserve">Quelle: </w:t>
      </w:r>
      <w:r>
        <w:t>https://mcp.opencaselaw.ch/entscheid/vd_omni_FI.1998.0027</w:t>
      </w:r>
    </w:p>
    <w:p>
      <w:r>
        <w:t>FR: VD_OMNI FI.1998.0027 du 1 juillet 1999</w:t>
      </w:r>
    </w:p>
    <w:p>
      <w:r>
        <w:t>IT: VD_OMNI FI.1998.0027 del 1 luglio 1999</w:t>
      </w:r>
    </w:p>
    <w:p>
      <w:pPr>
        <w:pStyle w:val="Heading2"/>
      </w:pPr>
      <w:r>
        <w:t>Regeste</w:t>
      </w:r>
    </w:p>
    <w:p>
      <w:r>
        <w:t>c/ACI | Lindemnité allouée au défenseur d'office par le TA n'est pas susceptible de recours au TC.</w:t>
      </w:r>
    </w:p>
    <w:p>
      <w:pPr>
        <w:pStyle w:val="Heading2"/>
      </w:pPr>
      <w:r>
        <w:t>Erwägungen</w:t>
      </w:r>
    </w:p>
    <w:p>
      <w:r>
        <w:rPr>
          <w:b/>
        </w:rPr>
        <w:t>E. 2</w:t>
      </w:r>
    </w:p>
    <w:p>
      <w:r>
        <w:t>LJPA, cela exclut dès lors une application par analogie de l'art. 17a al. 3 LAJ en l'espèce et partant l'existence d'un recours sur ce point au Président du Tribunal cantonal; dans ce sens, TA arrêt du 21 décembre 1998, PE 98/0325). Compte tenu des différentes opérations effectuées, cette indemnité sera arrêtée en l'occurrence à 1'500 fr., taxe sur la valeur ajoutée inclue. Il est encore précisé ici que cette indemnité sera comprise, en application de la loi du 24 novembre 1981 sur l'assistance judiciaire en matière civile appliquée par analogie, dans les frais mis à la charge des intéressés; le montant correspondant pourra ainsi leur être réclamé, en application de l'art. 18 de cette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