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FI.1995.0096 vom 7. Oktober 1996</w:t>
      </w:r>
    </w:p>
    <w:p>
      <w:r>
        <w:t>VD Tribunal cantonal, 1996-10-07, FR</w:t>
      </w:r>
    </w:p>
    <w:p>
      <w:r>
        <w:rPr>
          <w:b/>
        </w:rPr>
        <w:t xml:space="preserve">Quelle: </w:t>
      </w:r>
      <w:r>
        <w:t>https://mcp.opencaselaw.ch/entscheid/vd_omni_FI.1995.0096</w:t>
      </w:r>
    </w:p>
    <w:p>
      <w:r>
        <w:t>FR: VD_OMNI FI.1995.0096 du 7 octobre 1996</w:t>
      </w:r>
    </w:p>
    <w:p>
      <w:r>
        <w:t>IT: VD_OMNI FI.1995.0096 del 7 ottobre 1996</w:t>
      </w:r>
    </w:p>
    <w:p>
      <w:pPr>
        <w:pStyle w:val="Heading2"/>
      </w:pPr>
      <w:r>
        <w:t>Regeste</w:t>
      </w:r>
    </w:p>
    <w:p>
      <w:r>
        <w:t>c/ACI | L'art. 38 al. 1 LTEM (prescription de 5 ans du droit de recouvrer la créance fiscale) s'applique par analogie à la prescription du droit de taxer. Si l'année d'assujettiss. est = 1989, l'année de taxation = 1990 (25 LTEM), le droit de taxer est prescrit le 31.12.1995. La créance fiscale est-elle une obligation ex lege? Question réservée.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LTEM au cas d'espèce. L'autorité intimée a donc considéré à juste titre que le recourant était assujetti à la taxe dès 1989, les taxes dues pour les années 1984 à 1988 étant prescrites. 2.                     Au vu de ce qui précède, le recours doit être rejeté aux frais du recourant (art. 30 al. 2 LTEM).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