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FI.1995.0076 vom 10. Januar 1996</w:t>
      </w:r>
    </w:p>
    <w:p>
      <w:r>
        <w:t>VD Tribunal cantonal, 1996-01-10, FR</w:t>
      </w:r>
    </w:p>
    <w:p>
      <w:r>
        <w:rPr>
          <w:b/>
        </w:rPr>
        <w:t xml:space="preserve">Quelle: </w:t>
      </w:r>
      <w:r>
        <w:t>https://mcp.opencaselaw.ch/entscheid/vd_omni_FI.1995.0076</w:t>
      </w:r>
    </w:p>
    <w:p>
      <w:r>
        <w:t>FR: VD_OMNI FI.1995.0076 du 10 janvier 1996</w:t>
      </w:r>
    </w:p>
    <w:p>
      <w:r>
        <w:t>IT: VD_OMNI FI.1995.0076 del 10 gennaio 1996</w:t>
      </w:r>
    </w:p>
    <w:p>
      <w:pPr>
        <w:pStyle w:val="Heading2"/>
      </w:pPr>
      <w:r>
        <w:t>Regeste</w:t>
      </w:r>
    </w:p>
    <w:p>
      <w:r>
        <w:t>c/ ACI | L'assiette du droit de mutation consiste en la valeur de l'immeuble au jour de l'inscription de l'acte de transfert au RF, c'est-à-dire la valeur du bien-fonds, auquel on ajoutera les objets qui en feraient partie intégrante à cette date, des accessoires à des prestations en relation causale avec le transfert; la rémunération du contrat d'entreprise - toujours distinct du contrat de vente est en revanche exclue de l'assiette du droit (revirement de jurisprudence cons. 4).</w:t>
      </w:r>
    </w:p>
    <w:p>
      <w:pPr>
        <w:pStyle w:val="Heading2"/>
      </w:pPr>
      <w:r>
        <w:t>Erwägungen</w:t>
      </w:r>
    </w:p>
    <w:p>
      <w:r>
        <w:rPr>
          <w:b/>
        </w:rPr>
        <w:t>E. 2</w:t>
      </w:r>
    </w:p>
    <w:p>
      <w:r>
        <w:t>du projet de loi de la façon suivante :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(BGC Printemps 1962 p. 1032 et ss notamment 1035-1036, cf aussi 1121-1122). aa) L'imposition du transfert juridique est donc la règle et celle du transfert économique l'exception, ses formes étant limitativement énumérées par le législateur; il n'y a donc place pour la réalité économique découlant d'une opération de transfert que dans le strict cadre des opérations définies à l'art. 2 al. 2 LMSD et il ne saurait être question de soumettre à cet impôt, sans base légale, toutes les opérations équivalant économiquement au transfert de l'immeuble (ATF 99 I 459 = JT 1975 I 115 et ss not. 123-124); une réserve doit toutefois être émise, dans le cas où l'autorité fiscale est confrontée à une transaction revêtue d'une forme juridique particulière, en vue précisément d'éluder l'impôt, c'est-à-dire lorsqu'il s'agit de redresser un abus (Ryser/Rolli, op. cit., p. 78, § 31). bb) Comme on le verra ci-dessous, l'application du texte de loi peut cependant aboutir à des résultats paradoxaux que le législateur n'avait sans doute pas imaginés lors de la modification, en 1962, de la LMSD, surtout eu égard au développement des opérations dites de promotion immobilière et à leurs conséquences, tant en droit privé qu'en droit fiscal. Il n'en demeure pas moins que l'on ne peut que donner raison à la recourante lorsqu'elle soutient que la perception du droit de mutation sur tous les transferts immobiliers au sens économique est, dans le canton de Vaud, dépourvue de base légale. 4.                     Pour déterminer la valeur d'un bien-fonds faisant l'objet d'un transfert sur lequel une construction, qui en fait partie intégrante, est en cours, voire même est seulement envisagée, chacun des deux systèmes résumés ci-dessus aboutit à une solution diamétralement opposée. a) Au préalable, on rappellera que, selon l'art. 642 al. 2 CCS, est partie intégrante ce qui, d'après l'usage local, constitue un élément essentiel de la chose et n'en peut être séparé sans la détruire, la détériorer ou l'altérer. La partie intégrante partage alors le sort juridique de la chose complexe à laquelle elle est reliée et le propriétaire de la chose devient propriétaire, conformément au principe de l'accession, de la partie intégrante (art. 642 al. 1 CCS); peu importe que ce lien soit dû à la nature ou à l'homme, qu'il soit volontaire ou non, qu'il ait été opéré à bon droit ou non (cf. Meier-Hayoz, Berner Kommentar ad art. 671 CCS, note 15; cf. aussi, ad art. 673 CCS, Steinauer, op. cit., Tome I, Berne 1985 nos 1060 et ss notamment 1061/1062). De même, il convient de garder à l'esprit qu'en droit privé, le transfert d'un immeuble ou d'une part d'immeuble est possible, avant même l'inscription au registre foncier (ATF 107 II 211), puisque le caractère simplement déterminable de l'objet de la vente satisfait aux exigences de l'art. 216 CO (ATF 103 II 110 = JT 1978 I 226; cf. aussi DC 1982 p. 57 no 49). b) Le droit de mutation perçu sur le transfert au sens économique du bien-fonds implique la perception, non seulement sur le prix de vente du terrain à bâtir, mais également sur le prix d'exécution de l'ouvrage, lorsque le contrat de vente de l'immeuble et le contrat d'entreprise sont si étroitement liés que, sans la conclusion de l'un, l'autre n'aurait pas été passé (hypothèse de l'ATF du 20 novembre 1980 à propos de l'art. 178 al. 2 lit. a Zürchersteuergesetz - ci après: ZHStG - in Archives 1982 p. 445 et ss, déjà cité). C'est la conséquence de la pratique fondée sur la réalité économique. Dans ce cas, l'objet du droit est donc nécessairement plus large, puisque l'autorité de taxation peut ne pas s'arrêter à l'apparence juridique donnée par les parties à un acte de transfert, mais au contraire rechercher la réelle volonté de celles-ci, pour prendre en considération tous les éléments qui donneront à la chose sa valeur finale (cf art. 181 ZHStG). Peu importe la présence effective d'une construction sur le bien-fonds au jour de la vente et l'état d'avancement de cette construction, le critère choisi étant celui de la finalité de l'opération soumise au droit de mutation (Reimann/Zuppinger/Schärrer, op. cit. ad art. 181 note 6). c) Dans un prononcé du 29 août 1974, la CCRI a tenu compte, pour fixer l'assiette du droit de mutation, de la prestation résultant d'un contrat d'entreprise lié étroitement à l'acte de transfert (RDAF 1975, 200). Appliquant l'ATF précité du 20 novembre 1980, la commission, dans un prononcé du 26 mars 1984, a encore estimé que le contenu des art. 6 al. 1 et 3 LMSD était analogue à celui de l'art. 181 ZHStG et qu'il convenait dès lors de percevoir la contribution non seulement sur le prix de vente de l'immeuble mais également sur le prix d'exécution de l'ouvrage, quel que soit le type de propriété en cause (RDAF 1985, 88 et ss. not. 92-93). Ce que l'autorité de recours a toutefois perdu de vue, c'est que l'art. 178 al. 2 lit. a ZHStG, base légale qui frappe tout transfert immobilier au sens économique du terme, n'a, dans la législation actuelle, aucun équivalent dans le droit fiscal vaudois. En effet, l'art. 2 al. 1 LMSD frappe, on l'a vu (supra 3c), le transfert d'un immeuble au sens juridique, c'est-à-dire, en règle générale, le contrat de vente. L'assiette du droit est, par conséquent, la contrepartie de ce transfert. Mais la notion de valeur brute (par opposition à la valeur nette), inaugurée par la CCRI dans l'arrêt 90/024 du 2 octobre 1991 et reprise par le Tribunal administratif dans l'arrêt FI 94/115 du 16 juin 1995, doit encore être précisée. d) L'art. 6 LMSD précise, à ses alinéas premier à 5: "Le droit de mutation se calcule sur la valeur de l'immeuble y compris les accessoires (art. 644 CCS), ou sur celle du droit constitué, transféré ou éteint. Les parties ont l'obligation d'indiquer dans l'acte le prix réellement convenu; celui-ci est présumé représenter la valeur de l'immeuble ou du droit. Les prestations accessoires mises à charge de l'acquéreur s'ajoutent au prix d'achat, sauf si elles ont donné lieu à la perception d'un droit de mutation. 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 Si la valeur de l'immeuble ou du droit n'est pas déterminée, ou si le prix convenu paraît inférieur à la valeur réelle, l'autorité de taxation l'apprécie sur la base des données qu'elle peut réunir." aa) Le prix convenu est présumé correspondre à la valeur réelle et déterminer l'assiette du droit (art. 6 al. 2 LMSD, deuxième phrase), mais cette présomption n'est pas irréfragable (cf art. 6 al. 5). Elle peut être renversée, notamment par l'autorité fiscale, lorsque le prix convenu paraît inférieur à la valeur réelle du bien aliéné (cf par exemple arrêt FI 94/115 précité, où il a été jugé que, dans l'hypothèse de l'art. 673 CCS, il est parfaitement cohérent de percevoir le droit de mutation en prenant pour assiette de ce dernier la valeur brute de l'immeuble, au moment du transfert, distincte du prix convenu). Mais ce montant devra également être revu à la baisse, lorsque le prix convenu inclut, sans les distinguer, des constructions futures, non encore réalisées au jour de l'inscription du transfert au registre foncier. bb) L'art. 2 al. 1 LMSD vise le transfert juridique de la propriété d'un immeuble à titre onéreux. Sont considérés comme tels non seulement les transferts qui interviennent moyennant une contre-prestation directe, tel le paiement du prix ou, par exemple, la reprise d'une dette, mais également ceux à l'occasion desquels une obligation préexistante se trouve éteinte (cf prononcé CCRI 90/024 précité). S'agissant du droit de mutation perçu sur le transfert juridique du bien-fonds, l'impôt sera dû dès qu'un acte de disposition à titre onéreux est conclu sur un immeuble et que cet acte est inscrit au registre foncier, sans égard à la volonté des parties (arrêt FI 93/134 du 27 juin 1994, consid. 1b), ni au but recherché par elles, en ne tenant compte que de la valeur du bien à cette date (prononcé CCRI 90/024 précité, consid. 1c et RDAF 1961, 317), quand bien même celles-ci ont en vue le transfert d'un immeuble supportant un bâtiment achevé. Du reste, dans l'arrêt FI 93/134 précité, le Tribunal administratif a clairement dit que l'impôt était dû dès qu'un acte de cette nature est conclu "indépendamment du fait de savoir si les parties, en concluant d'autres actes étaient en mesure d'échapper à un tel prélèvement" ; dès lors, l'autorité fiscale ne peut rien déduire de l'hypothèse inverse dans laquelle les parties ont cherché à réaliser une économie d'impôt (cf ATF du 13 février 1976 in RDAF 1977, 309 et ss not. 311). cc) Dans un tel régime, et contrairement à ce que semblait vouloir dire, il y a dix ans, la CCRI, la prestation de l'entrepreneur ne peut jamais être considérée comme accessoire au sens de l'art. 6 al. 3 LMSD, pour être ajoutée au prix du terrain. Le contrat d'entreprise est en effet un autre contrat (supra 3a, bb), distinct du contrat de vente (cf, sur ce point en droit privé, ATF 94 II 161 = JT 1969 I 650; 117 II 259 = JT 1992 I 559 et 118 II 142 = JT 1993 I 300; dans ce dernier cas, le TF a admis qu'il y avait contrat mixte, bien que les parties fussent convenues d'un prix global, sans distinguer la valeur du terrain et le coût de la construction), dont le prix payé à l'entrepreneur constitue un élément essentiel (art. 2 al. 1 CO). Il n'est donc pas, au sens du droit des obligations, un accessoire du contrat principal qui, à suivre l'opinion de la CCRI dans le prononcé du 26 mars 1984, serait alors le contrat de vente (cf, sur ce point, Meier-Hayoz, FJS no 1135). On relève d'ailleurs que le prix convenu pour l'ouvrage à réaliser est ici très largement supérieur au prix de vente du terrain; il serait dès lors pour le moins audacieux de considérer que le premier est l'accessoire du second. dd) Enfin, on relèvera que l'art. 6 al. 4 LMSD inclut dans l'assiette du droit le mobilier et les valeurs immatérielles; a contrario, il convient par conséquent d'être restrictif dans les autres cas non expressément réglés par le législateur, parmi lesquels figure la vente d'un immeuble avec conclusion, en parallèle, d'un contrat d'entreprise. e) Dans l'hypothèse susvisée, la valeur de l'immeuble sera donc déterminée sur le prix de vente du bien-fonds, auquel on ajoutera le prix des ouvrages qui en font effectivement partie intégrante au jour où tous les actes translatifs de propriétés auront été accomplis (RDAF 1961, 317), ainsi que les prestations en relation causale avec le transfert (art. 6 al. 3 LMSD) telles qu'indemnité, versement provisionnel ou reprise de dette (cf, pour la casuistique, Thomas, op. cit. pp. 218-219; Reimann/Zuppinger/Schärrer, op. cit. ad. art. 165 ZHStG notes 2 à 13) et ce, quelle que soit la finalité de l'opération soumise au droit de mutation, que l'on se trouve dans l'hypothèse visée part l'art. 673 CCS ou dans celle, plus fréquente, de deux contrats distincts ou d'une convention composite comprenant, comme en l'espèce, deux contrats, le transfert immobilier, d'une part et la construction d'un bâtiment, d'autre part. 5.                     De ce qui précède, il résulte que la décision entreprise ne peut être maintenue, dès lors que l'autorité intimée s'est appuyée sur un critère, le but recherché par les parties, qui n'est pas décisif pour arrêter l'assiette du droit de mutation a) La décision retient, d'une part, que le contrat de vente de la part de copropriété conclu entre la recourante et Z.________ est étroitement lié au contrat d'entreprise passé le même jour entre les mêmes parties et, d'autre part, que l'intention de la recourante était d'acquérir un appartement entièrement terminé; ce faisant, l'autorité cantonale se fonde sur la réalité économique (dans ce sens, Thomas, op. cit. p. 149 et ss.), dont on a vu ci-dessus qu'elle échappait à l'art. 2 al. 1 LMSD et sur des considérations subjectives étrangères au but poursuivi par le législateur de 1962, qui est de ne pas frapper les mutations économiques autres que celles mentionnées à l'art. 2 al. 2 LMSD. Au surplus, la recourante n'a à l'évidence pas cherché à éluder l'impôt, ce que du reste l'ACI semble admettre. b) Les deux conditions consacrées par la première disposition précitée étant ici réalisées - vente d'une part de copropriété, à titre onéreux - le droit de mutation doit donc être perçu, conformément à l'art. 6 al. 2 LMSD, sur le prix de la part de copropriété sur les parcelles nos 1********et 2********, tel que convenu dans le contrat du 29 avril 1994 (70'000 fr.) et la participation aux frais de l'équipement du quartier (20'000 fr.), ce dernier apportant une plus-value au sol. On y ajoutera, le cas échéant, la valeur des constructions éventuelles faisant, au jour de l'inscription de l'acte au registre foncier, partie intégrante de la part de copropriété, sans omettre, à due concurrence de la quote-part de la recourante, celle des constructions communes à toutes les parts. c) En conséquence, l'autorité fiscale devra tenir compte de ce qui précède - et le tribunal est conscient des problèmes de calculation auxquels elle pourrait être confrontée dans l'application du texte de la loi, suivant, par exemple, l'état d'avancement des travaux de construction - pour déterminer, conformément à l'art. 6 al. 1 LMSD, l'assiette des droits de mutation.</w:t>
      </w:r>
    </w:p>
    <w:p>
      <w:r>
        <w:rPr>
          <w:b/>
        </w:rPr>
        <w:t>E. 6</w:t>
      </w:r>
    </w:p>
    <w:p>
      <w:r>
        <w:t>Les considérants qui précèdent conduisent le tribunal à admettre le recours et à renvoyer la cause à l'autorité intimée pour nouvelle décision. Les frais sont laissés à la charge de l'Etat et les recourants, qui ont procédé par mandataire, ont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