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FI.1993.0059 vom 4. August 1994</w:t>
      </w:r>
    </w:p>
    <w:p>
      <w:r>
        <w:t>VD Tribunal cantonal, 1994-08-04, FR</w:t>
      </w:r>
    </w:p>
    <w:p>
      <w:r>
        <w:rPr>
          <w:b/>
        </w:rPr>
        <w:t xml:space="preserve">Quelle: </w:t>
      </w:r>
      <w:r>
        <w:t>https://mcp.opencaselaw.ch/entscheid/vd_omni_FI.1993.0059</w:t>
      </w:r>
    </w:p>
    <w:p>
      <w:r>
        <w:t>FR: VD_OMNI FI.1993.0059 du 4 août 1994</w:t>
      </w:r>
    </w:p>
    <w:p>
      <w:r>
        <w:t>IT: VD_OMNI FI.1993.0059 del 4 agosto 1994</w:t>
      </w:r>
    </w:p>
    <w:p>
      <w:pPr>
        <w:pStyle w:val="Heading2"/>
      </w:pPr>
      <w:r>
        <w:t>Regeste</w:t>
      </w:r>
    </w:p>
    <w:p>
      <w:r>
        <w:t>c/ACI et Vevey | Le fait, que pour un particulier qui veut se procurer un logement, d'en réaliser deux, n'exclut pas de qualifier toute l'opération de privée; association avec un professionnel ici pas décisive.</w:t>
      </w:r>
    </w:p>
    <w:p>
      <w:pPr>
        <w:pStyle w:val="Heading2"/>
      </w:pPr>
      <w:r>
        <w:t>Erwägungen</w:t>
      </w:r>
    </w:p>
    <w:p>
      <w:r>
        <w:rPr>
          <w:b/>
        </w:rPr>
        <w:t>E. 40</w:t>
      </w:r>
    </w:p>
    <w:p>
      <w:r>
        <w:t>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42) ou que des exigences strictes doivent être posées quant à la preuve à rapporter pour renverser cette présomption (Truog, op. cit., p. 111). Cagianut/Höhn (Unternehmungssteuerrecht, Berne 1989, 2e éd. p. 59) résument cette jurisprudence en soulignant qu'elle n'exonère que les ventes immobilières réalisées dans le cadre de la simple administration de la fortune privée. c) Dans l'application des règles vaudoises correspondantes, la Commission cantonale de recours en matière d'impôt (CCRI) s'est toujours référée à la jurisprudence rendue par le Tribunal fédéral en matière d'impôt fédéral direct (v. p. ex. CCRI A. Ma., du 20.9.1985; R. Pa. et M. Mé., du 15.7.1991). Le Tribunal administratif a suivi cette pratique (voir notamment arrêts FI 91/019 du 17 mars 1992 et FI 92/109 du 25 octobre 1993); les deux recours peuvent donc faire l'objet d'un seul et même examen. 3.                     a) Le recourant reproche à l'autorité intimée de ne pas avoir examiné la présente affaire uniquement en fonction de l'échange opéré au mois de mai 1989, mais d'avoir au contraire pris en compte les circonstances ayant précédé cet échange et notamment l'intention initiale du recourant de construire, en association avec B.________, un immeuble de quatre (ou trois) appartements. Ce grief n'est pas fondé. Selon la jurisprudence, c'est précisément l'ensemble des circonstances ayant entouré une opération qui sont décisives pour déterminer si celle-ci a un caractère professionnel ou non. Il est donc indéniable que les circonstances ayant présidé à l'achat d'un bien-fonds qui a fait finalement l'objet d'un échange avec un autre peuvent être décisives, au regard de la jurisprudence, pour déterminer si le gain obtenu grâce à l'échange est de nature commerciale ou non. b) Dans l'application des critères exposés plus haut, l'autorité intimée a reconnu que le recourant n'a pas déployé d'activité systématique dans le domaine immobilier et qu'à l'exception d'une partie de l'opération en cause (60%) et d'une petite opération sur des places de parc, il a toujours acheté et vendu uniquement pour s'assurer un logement. Elle a toutefois attaché une importance particulière au fait que A.________ a acheté le terrain de Y.________ en propriété commune avec B.________ qui, lui, s'est engagé dans un but purement professionnel. Dès lors, selon elle, l'ensemble de l'opération doit être considéré comme étant de nature professionnelle et cette qualification rejaillit immanquablement sur le gain réalisé par le recourant. L'autorité intimée a également accordé de l'importance au fait que le recourant, en tant que cadre bancaire, est indirectement lié au milieux immobiliers. A ses yeux, l'absence de mise de fonds propres constitue un indice supplémentaire en faveur d'une activité à caractère commercial. Enfin, elle estime qu'il est évident que l'intéressé a eu l'intention de réaliser un gain, la vente d'un ou deux logements devant lui permettre de financer en partie le sien propre. A son avis, la seule circonstance qui aurait pu affaiblir la présomption se dégageant de l'examen des critères susmentionnés est le fait que A.________ comptait précisément se procurer un logement. Elle estime toutefois que ce seul fait ne peut enlever à une partie de l'opération son caractère spéculatif, raison pour laquelle elle a traité une partie du bénéfice comme privée (40%) et l'autre comme professionnelle (60%). Tout en reconnaissant qu'il se trouve en présence d'un cas limite, le tribunal ne peut se ranger à ces arguments. Il estime en effet que les critères mis en évidence ci-dessus ne permettent pas de dégager des indices suffisamment forts en faveur de l'activité commerciale. Comme on l'a vu, l'autorité intimée ne conteste pas que le recourant a acheté le terrain de Y.________ dans l'optique d'acquérir un logement pour lui et sa famille. Dans le contexte de la présente affaire, le simple fait que A.________ ait voulu réaliser deux logements ne constitue pas un indice particulièrement important tendant à démontrer l'existence d'une activité à caractère professionnel. Il est à cet égard tout à fait concevable, comme l'a expliqué le recourant dans sa dernière écriture, que la dimension du projet était essentiellement dictée par la nécessité de trouver un équilibre sur le plan financier (dans le même sens, v. Tribunal administratif, arrêt FI 93/155 du 15 avril 1994, cons. 1d aa). De manière plus générale, on peut même se demander si le fait, pour un particulier qui construit sa maison, de réaliser un second appartement avec l'idée qu'il pourrait le revendre un jour et, le cas échéant, faire une bonne affaire, ne constitue pas une activité restant dans les limites de la gestion de la fortune privée. L'existence d'une société simple entre divers partenaires dont l'un au moins intervient à titre professionnel constitue en général, comme l'a relevé à juste titre l'autorité intimée, un indice important pour retenir l'activité professionnelle. Tel n'est cependant pas le cas en l'espèce. Il apparaît en effet suffisamment démontré que A.________ et B.________ se sont engagés avec des objectifs différents, le premier souhaitant se procurer un logement et le second, contribuer à l'achat par une mise de fonds propres et fournir des travaux à son entreprise sanitaire (v. lettre du 20 avril 1989 du notaire Berney à l'ACI, let. b). Il peut certes paraître contradictoire d'admettre cette divergence d'intérêts, la société simple postulant, par définition, l'existence d'un but commun. Mais ce but commun est bien présent en l'espèce: il consiste en ce que A.________ et B.________ ont décidé d'unir leurs efforts et leurs ressources pour réaliser un projet commun, un immeuble de trois ou quatre appartements, projet que les deux partenaires ne pouvaient pas espérer concrétiser seuls. Rien n'empêche cependant qu'en dehors de ce but commun, A.________ et B.________ agissaient avec des motivations différentes, le premier souhaitant avant tout se procurer un logement et le second procéder à un investissement en relation avec l'exploitation de son entreprise. L'absence de mise de fonds propres ne joue guère de rôle en l'espèce. En 1988, les particuliers souhaitant acquérir leur logement obtenaient des crédits hypothécaires avec un minimum de fonds propres. La situation du recourant, qui tient également à sa position de cadre bancaire, ne revêt donc rien de particulier sur ce point. L'autorité intimée considère enfin qu'il est évident que le recourant voulait réaliser un bénéfice en vendant le deuxième appartement pour financer son propre logement. Cette conclusion ne s'impose pas non plus. Il est tout aussi plausible, comme on l'a vu plus haut, que le dimensionnement du projet était dicté par la nécessité de réaliser un équilibre sur le plan financier et qu'au surplus, le recourant ait vu dans cette solution un avantage consistant à pouvoir éventuellement louer un appartement à ses parents qui étaient relativement âgés. En définitive, on peut considérer que si le projet initial ne s'est pas réalisé et si l'échange en cause a permis au recourant de dégager un gain appréciable, cela n'est pas dû à une activité à caractère spéculatif, mais bien au fait que les difficultés rencontrées pour construire à Z.________ se sont conjuguées avec la survenance d'une occasion favorable consistant dans la possibilité d'échanger le terrain de Z.________ avec la demi-villa de W.________, elle-même destinée à l'habitation de l'intéressé et de sa famille. Les opérations effectuées par le recourant reposant essentiellement sur la volonté de se procurer un logement, le tribunal considère que son activité n'est pas sortie du cadre de la gestion de sa fortune privée. Le recours doit par conséquent être admis, ce qui conduit à l'exonération du gain sur le plan de l'impôt fédéral et au report d'imposition conformément à l'art. 41 let. e LI sur le plan cantonal et communal. En outre, si la taxation du gain réalisé à la suite de la vente de la demi-villa de W.________ a déjà eu lieu, il conviendra de la réviser en conséquence. 4.                     En application de l'art. 55 LJPA, les frais de justice seront laissés à la charge de l'Etat et l'autorité intimée versera, à titre de dépens, la somme de Fr. 2'000.- à A.________ qui a obtenu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