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FI.1992.0085 vom 26. Januar 1993</w:t>
      </w:r>
    </w:p>
    <w:p>
      <w:r>
        <w:t>VD Tribunal cantonal, 1993-01-26, FR</w:t>
      </w:r>
    </w:p>
    <w:p>
      <w:r>
        <w:rPr>
          <w:b/>
        </w:rPr>
        <w:t xml:space="preserve">Quelle: </w:t>
      </w:r>
      <w:r>
        <w:t>https://mcp.opencaselaw.ch/entscheid/vd_omni_FI.1992.0085</w:t>
      </w:r>
    </w:p>
    <w:p>
      <w:r>
        <w:t>FR: VD_OMNI FI.1992.0085 du 26 janvier 1993</w:t>
      </w:r>
    </w:p>
    <w:p>
      <w:r>
        <w:t>IT: VD_OMNI FI.1992.0085 del 26 gennaio 1993</w:t>
      </w:r>
    </w:p>
    <w:p>
      <w:pPr>
        <w:pStyle w:val="Heading2"/>
      </w:pPr>
      <w:r>
        <w:t>Regeste</w:t>
      </w:r>
    </w:p>
    <w:p>
      <w:r>
        <w:t>c/ ACI | Comme le prévoit le texte légal, le délai de 4 ans de l'art. 98a LI part de la fin de la période fiscale, même en matière de gains immobiliers.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recours doit dans ces conditions être rejeté, les frais étant mis à la charge du recourant débouté (art. 55 LJPA).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