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FI.1990.0064 vom 10. Februar 1993</w:t>
      </w:r>
    </w:p>
    <w:p>
      <w:r>
        <w:t>VD Tribunal cantonal, 1993-02-10, FR</w:t>
      </w:r>
    </w:p>
    <w:p>
      <w:r>
        <w:rPr>
          <w:b/>
        </w:rPr>
        <w:t xml:space="preserve">Quelle: </w:t>
      </w:r>
      <w:r>
        <w:t>https://mcp.opencaselaw.ch/entscheid/vd_omni_FI.1990.0064</w:t>
      </w:r>
    </w:p>
    <w:p>
      <w:r>
        <w:t>FR: VD_OMNI FI.1990.0064 du 10 février 1993</w:t>
      </w:r>
    </w:p>
    <w:p>
      <w:r>
        <w:t>IT: VD_OMNI FI.1990.0064 del 10 febbraio 1993</w:t>
      </w:r>
    </w:p>
    <w:p>
      <w:pPr>
        <w:pStyle w:val="Heading2"/>
      </w:pPr>
      <w:r>
        <w:t>Regeste</w:t>
      </w:r>
    </w:p>
    <w:p>
      <w:r>
        <w:t>GRAND Michel | Taxe complémentaire : règlement prévoyant taux réduit selon jp CCRI abandonnée par TA. Construction ancienne assujettie comme les nouvelles, même en l'absence de travaux (nouvel art. 4a LIC pas encore applicable).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juin 1991, qui permet au Tribunal administratif de prélever un émolument compris entre Fr. 100.-- et Fr. 5'000.--. On s'en tiendra en l'espèce à la pratique de la section fiscale du Tribunal administratif selon laquelle l'émolument n'est qu'exceptionnellement inférieur à Fr. 500.--, même dans les causes qui ne mettent pas en jeu une valeur litigieuse importante mais qui ne sont pas particulièrement simples.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