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EF.2017.0002 vom 30. April 2018</w:t>
      </w:r>
    </w:p>
    <w:p>
      <w:r>
        <w:t>VD Tribunal cantonal, 2018-04-30, FR</w:t>
      </w:r>
    </w:p>
    <w:p>
      <w:r>
        <w:rPr>
          <w:b/>
        </w:rPr>
        <w:t xml:space="preserve">Quelle: </w:t>
      </w:r>
      <w:r>
        <w:t>https://mcp.opencaselaw.ch/entscheid/vd_omni_EF.2017.0002</w:t>
      </w:r>
    </w:p>
    <w:p>
      <w:r>
        <w:t>FR: VD_OMNI EF.2017.0002 du 30 avril 2018</w:t>
      </w:r>
    </w:p>
    <w:p>
      <w:r>
        <w:t>IT: VD_OMNI EF.2017.0002 del 30 aprile 2018</w:t>
      </w:r>
    </w:p>
    <w:p>
      <w:pPr>
        <w:pStyle w:val="Heading2"/>
      </w:pPr>
      <w:r>
        <w:t>Regeste</w:t>
      </w:r>
    </w:p>
    <w:p>
      <w:r>
        <w:t>A.________/Commission d'estimation fiscale des immeubles du district de Vevey | Estimation fiscale d'un immeuble en propriété commune d'époux en instance de divorce. Qualité pour recourir (consid. 1): le recourant a un intérêt digne de protection à ce que l'estimation fiscale contestée soit revue à la hausse, afin de s'en prévaloir dans le cadre de la liquidation du régime matrimonial. Droit d'être entendu (consid. 2 et 3): le recourant n'a pas été informé de la procédure de réclamation introduite par son épouse, ni invité à s'y déterminer ou à y participer; l'autorité intimée était pourtant au courant de la séparation des époux et de son caractère conflictuel; la décision attaquée ne respecte par ailleurs pas les exigences légales et jurisprudentielles en matière de motivation; le vice n'a pas été reparé en cours de procédure et ne saurait l'être au vu du pouvoir d'examen limité du tribunal. Recours admis et cause renvoyée à l'autorité intimée à charge pour elle de reprendre l'instruction de la réclamation dans le respect du droit d'être entendu du recourant et de motiver sa décision à satisfaction de droit.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Aux termes de l’art. 15 de la loi vaudoise du 18 novembre 1935 sur l’estimation fiscale des immeubles (LEFI; RSV 642.21), le recours au Tribunal cantonal contre les décisions sur réclamation rendues par la commission s'exerce conformément à la loi sur la procédure administrative. Le recours ayant été interjeté dans la forme et les délais prescrits (art. 7 al. 1, 27 al.</w:t>
      </w:r>
    </w:p>
    <w:p>
      <w:r>
        <w:rPr>
          <w:b/>
        </w:rPr>
        <w:t>E. 4</w:t>
      </w:r>
    </w:p>
    <w:p>
      <w:r>
        <w:t>Les considérants qui précèdent conduisent à l'admission du recours et à l'annulation de la décision attaquée. La cause est renvoyée à l'autorité intimée à charge pour elle de reprendre l'instruction de la réclamation dans le respect du droit d'être entendu du recourant (cf. consid. 2 ci-dessus) et de motiver sa décision à satisfaction de droit (cf. consid. 3 ci-dessus). Les frais sont mis à la charge de l'autorité intimée qui succombe (art. 51, 91 et 99 LPA-VD). Le recourant ayant agi sans l'aide d'un mandataire, il n'est pas alloué de dépens (art. 55 al. 1 a contrario , 91 et 99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