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EF.2016.0003 vom 4. Juli 2017</w:t>
      </w:r>
    </w:p>
    <w:p>
      <w:r>
        <w:t>VD Tribunal cantonal, 2017-07-04, FR</w:t>
      </w:r>
    </w:p>
    <w:p>
      <w:r>
        <w:rPr>
          <w:b/>
        </w:rPr>
        <w:t xml:space="preserve">Quelle: </w:t>
      </w:r>
      <w:r>
        <w:t>https://mcp.opencaselaw.ch/entscheid/vd_omni_EF.2016.0003</w:t>
      </w:r>
    </w:p>
    <w:p>
      <w:r>
        <w:t>FR: VD_OMNI EF.2016.0003 du 4 juillet 2017</w:t>
      </w:r>
    </w:p>
    <w:p>
      <w:r>
        <w:t>IT: VD_OMNI EF.2016.0003 del 4 luglio 2017</w:t>
      </w:r>
    </w:p>
    <w:p>
      <w:pPr>
        <w:pStyle w:val="Heading2"/>
      </w:pPr>
      <w:r>
        <w:t>Regeste</w:t>
      </w:r>
    </w:p>
    <w:p>
      <w:r>
        <w:t>A.________/Commission d'estimation fiscale des immeubles | Appartement de luxe, jouissant d'une situation privilégiée, acquis en 2012 pour un montant de 5'610'000 fr., alors que les vendeurs l'avaient eux-mêmes acquis neuf mois plus tôt pour un montant de 3'539'880 francs. Estimation fiscale arrêtée au moment de la vente en 2013 à 4'516'000 fr. et révisée en 2016, à la demande de l'acheteur, à 3'190'000 francs. Nouvelle demande en révision de l'acheteur tendant à ce que cette estimation soit fixée à 1'563'526 fr.; maintien par la CEFI de l'estimation révisée à 3'190'000 francs. Rejet du recours contre la décision de la CEFI. Le recourant demande que la valeur locative déterminante au niveau fiscal soit prise en considération pour arrêter la valeur de rendement; or, ces montants ne sont pas comparables et le recours à la valeur locative fiscale doit être écarté. En outre, en retenant une valeur de rendement théorique de 770'000 fr., soit 350 fr. le m2, la CEFI n’a pas abusé du pouvoir d’appréciation qui lui est reconnu en la présente matière, ceci d’autant moins que cette valeur se révèle plutôt favorable au recourant. S'agissant de la valeur vénale, il n'y a pas lieu de s'écarter du prix de vente, dès lors que le recourant ne fait valoir aucune circonstance postérieure à la décision de 2013, entrée en force. Au surplus, c’est à la suite d’un "coup de cœur" que le recourant a été conduit à s’acquitter d’un prix élevé pour acquérir cet appartement, ce qui ne constitue pas une circonstance extraordinaire au sens de l’art. 9 RLEFI. Enfin, un écart inférieur à 7% sépare l’estimation fiscale de l’appartement du recourant, telle qu’arrêtée par la décision attaquée, et l’estimation la plus élevée des sept autres appartements de l’immeuble.</w:t>
      </w:r>
    </w:p>
    <w:p>
      <w:pPr>
        <w:pStyle w:val="Heading2"/>
      </w:pPr>
      <w:r>
        <w:t>Erwägungen</w:t>
      </w:r>
    </w:p>
    <w:p>
      <w:r>
        <w:rPr>
          <w:b/>
        </w:rPr>
        <w:t>E. 1</w:t>
      </w:r>
    </w:p>
    <w:p>
      <w:r>
        <w:t>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[LPA-VD; RSV 173.36]) et le délai de trente jours (art. 95 LPA-VD), il y a lieu d’entrer en matière.</w:t>
      </w:r>
    </w:p>
    <w:p>
      <w:r>
        <w:rPr>
          <w:b/>
        </w:rPr>
        <w:t>E. 2</w:t>
      </w:r>
    </w:p>
    <w:p>
      <w:r>
        <w:t>Le recourant requiert du Tribunal qu’une expertise indépendante aux fins de déterminer la valeur de rendement et la valeur vénale de son appartement soit ordonnée ou qu’il soit autorisé à produire une expertise indépendante à cette fin. a) Devant la CDAP, la procédure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ou la mise en œuvre d’un expert.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mettre en œuvre un expert indépendant.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faire droit à la réquisition du recourant.</w:t>
      </w:r>
    </w:p>
    <w:p>
      <w:r>
        <w:rPr>
          <w:b/>
        </w:rPr>
        <w:t>E. 3</w:t>
      </w:r>
    </w:p>
    <w:p>
      <w:r>
        <w:t>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b) Selon la jurisprudence constante du Tribunal administratif, reprise par la Cour de droit administratif et public, il n’y a pas lieu de corriger l'estimation fiscale lorsque la différence entre la valeur contestée et celle à laquelle il aboutit est inférieure à 5%, marge en-deçà de laquelle il considère qu'il n'y a pas abus du pouvoir d'appréciation (voir arrêts EF.2014.0001 du 1 er octobre 2014; EF.2011.0002 du 27 septembre 2011; EF.2008.0003 du 1 er décembre 2008 ).</w:t>
      </w:r>
    </w:p>
    <w:p>
      <w:r>
        <w:rPr>
          <w:b/>
        </w:rPr>
        <w:t>E. 4</w:t>
      </w:r>
    </w:p>
    <w:p>
      <w:r>
        <w:t>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dans sa dernière teneur en vigueur depuis la novelle du 17 décembre 2008, applicable depuis le 1 er janvier 2009). b)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LEFI). L’art. 23 al. 1 LEFI dispose que tout propriétaire peut demander la révision de l’estimation de son immeuble, s’il rend vraisemblable que la valeur fiscale de celui-ci s’écarte de l’estimation portée au registre; cette procédure de "révision" s’apparente dans une très large mesure à la procédure de mise à jour, dès lors que, sauf demande spéciale et motivée, elle se fait en même temps que la mise à jour périodique prévue par l’art. 20 LEFI (art. 23 al. 3 LEFI; cf. arrêt EF.2000.0006 du 2 novembre 2000). L’art. 23 al. 1 LEFI ne vise pas la révision au sens ordinaire de ce terme en droit de procédure, en matière administrative en particulier, mais une demande de réexamen (ou de nouvel examen; ATF 136 II 177 consid. 2.1 p. 181 et les arrêts cités). Dans la procédure ordinaire de mise à jour, il s’agit de fixer, à une date donnée, la valeur cadastrale d’un immeuble dont on présume qu’elle a notablement varié par rapport à l’estimation portée au registre (arrêts EF.2009.0007 du 9 février 2009 consid. 1a; EF.1997.0027 du 22 juin 2006; EF.1998.0006 du 17 juin 1998). L’art. 20 LEFI habilite l’autorité compétente à réviser d'office l'estimation fiscale d’une parcelle lorsque la valeur fiscale de celle-ci a notablement augmenté (v., notamment, arrêts EF.2009.0007 du 9 février 2009 consid. 1a; EF.2006.0001 du 30 novembre 2006). La mise à jour des registres des estimations en ce qui concerne les mutations de la propriété s'opère par les soins du conservateur du registre foncier en même temps que les mutations correspondantes dans les autres registres (art. 36 du règlement du 22 décembre 1936 sur l’estimation fiscale des immeubles [RLEFI; RSV 642.21.1]). Le conservateur du registre foncier note et signale à la commission de district les modifications survenues aux propriétés ou aux inscriptions y relatives qui peuvent influencer l'estimation des biens-fonds (art. 38 RLEFI).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Dans un arrêt F. 4/80 du 2 octobre 1981, la Commission centrale d’estimations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ne serait en revanche pas le cas dans la deuxième situation.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Au surplus, la révision prévue par l'art. 23 LEFI s'apparente dans une très large mesure à la mise à jour de l'art. 20 LEFI (arrêt EF.2006.0005 du 31 mars 2009 consid. 1a). Ces deux institutions ont en commun la réalisation, depuis la dernière décision d’estimation fiscale entrée en force, d’une modification notable des circonstances. Dans les deux cas, il s’agit d’une révision lato sensu, qui étend l’obligation pour l’autorité d’entrer en matière à des motifs postérieurs à la dernière taxation (v. Pierre Moor/Etienne Poltier, Droit administratif, vol. II, 3 ème éd. Berne 2011, n° 2.4.4.2, références citées). Constituent notamment de tels faits nouveaux, les mutations, réunions ou divisions de biens-fonds, constructions ou démolitions de bâtiments, constitutions ou radiations de servitudes et toute opération qui a une incidence notable sur la valeur fiscale de l'immeuble (art. 20 LEFI; cf., outre EF.2006.0005, déjà cité, arrêt EF.1997.0027 du 22 juin 2006). Une distinction s’impose toutefois entre les deux dispositions. La mise à jour de l’art. 20 LEFI peut soit intervenir d’office, soit sur requête du propriétaire. En revanche, il appartient exclusivement à celui-ci de requérir la révision au sens de l’art. 23 LEFI. Dans les deux cas sans doute, l'autorité doit, lorsqu'elle statue, appliquer le droit d'office (jura novit curia), sans être liée par les moyens qu'invoquent les parties; en revanche, on ne saurait reprocher à l'autorité d'avoir violé cette maxime après avoir statué. Par ailleurs, l'autorité n'a pas l'obligation d'accorder d'office aux administrés des droits que la loi fait dépendre d'une demande de leur part (v. Moor/Poltier, op. cit., n° 2.2.6.5). c) 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128 I 240 consid. 3). aa) L’art. 2 al. 3 LEFI dispose que la valeur de rendement d'un immeuble correspond au rendement brut ou net capitalisé à un taux tenant compte du loyer de l'argent et des charges annuelles et périodiques. A teneur de l’art. 5 al. 1 RLEFI, la valeur de rendement d'un immeuble correspond au rendement net ou brut capitalisé à un taux tenant compte du loyer de l'argent et des charges annuelles et périodiques. Aux termes de l’art. 21 RLEFI,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ci-dessus, auquel seront ajoutés en pour-cent les frais généraux et les frais d'entretien, ce revenu variant dans la règle du 6 à 9 % (al. 2). Lorsqu'une partie de l'immeuble est occupée par le propriétaire, se trouve vacante, ou si le montant du loyer n'est pas connu, la commission l'évalue (al. 3). Pour le reste, la valeur de rendement des immeubles est calculée, dans la règle, d'après le rendement normal de l'année précédente (art. 6 RLEFI).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individuelles diminue les frais d'entretien et d'administration et que l'on peut compter sur une durée de vie plus longue (ch. I 5). Toujours selon les instructions, les commissions sont tenues d'établir, pour le calcul de la valeur de rendement en l'absence de loyer effectif, des valeurs moyennes; les revenus locatifs supputés doivent correspondre aux loyers normaux de la région. Selon les instructions générales de l'Administration cantonale des impôts, développées en matière de détermination de la valeur locative, entrent en considération pour le calcul de la surface du logement les pièces habitables, la cuisine, les salles de bains, cabinets de toilette et douches, les halls, vestibules et escaliers à l'intérieur du logement, les vérandas fermées, les combles habitables et mansardes; n'entrent en revanche pas en considération les galetas, cagibis et combles non habitables, les balcons, terrasses et galeries ouvertes, les caves et autres locaux de service (buanderie, étendage, carnotzet), les garages et remises (arrêts EF.2011.0006 du 19 décembre 2011; EF.2007.0004 du 31 mars 2008). bb) Aux termes de l’art. 8 RLEFI,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précitées, un facteur de pondération doit être appliqué en fonction de l'âge du bâtiment, à raison de 1% l'an, mais au maximum 30%, sauf cas exceptionnels. Si l'immeuble à taxer est susceptible d'avoir une destination ultérieure plus profitable que celle qu'il a au moment de la taxation, on ne tiendra compte de cette possibilité dans la fixation de la valeur vénale qu'en tant qu'une augmentation de prix se produit actuellement déjà, de ce fait, dans les transactions (al. 3). A cet égard, les instructions précisent également que, pour déterminer cette valeur, on doit tenir compte de celle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n°4 p. 112; cf. également, parmi d'autres arrêts, arrêt EF.1999.0002 du 7 mai 1999). A cet égard, l’art. 23 al. 1 RLEFI prescrit de tenir compte, pour le calcul de la valeur vénale, des prix moyens pratiqués dans la région pour un terrain comparable. cc) L'art. 9 RLEFI réserve cependant l'hypothèse dans laquelle les ventes ont lieu dans des circonstances extraordinaires et lors desquelles les prix ont été fixés sous l'influence de conditions particulières, auquel cas ces transactions ne sont dans la règle pas prises en considération. Le texte cite à titre d’exemple: vente entre parents (cf. arrêt EF.2007.0004 du 31 mars 2008), vente juridique dont l'acquéreur a qualité de créancier (cf. arrêts EF.2005.0003 du 18 août 2006; EF.2003.0005 du 9 septembre 2003), expropriation, achat extraordinaire dans des buts de spéculation. On rappelle à cet égard que l'application de l'art. 9 RLEFI doit cependant demeurer restrictive, seules les ventes s'écartant manifestement de la valeur objective de l'immeuble pouvant être ignorées, d'autres circonstances telles que l'inexpérience en matière immobilière ou la précipitation ne pouvant être qualifiées d'extraordinaires au sens de cette disposition (arrêt EF.1994.0017 du 6 juin 1994 consid. 2b et les réf. citées). Dès lors, un éventuel "coup de cœur" entraînant les acquéreurs à payer un prix élevé ne constitue pas une circonstance extraordinaire au sens de cette disposition (arrêt EF.1997.0011 du 26 septembre 1997). La CDAP a repris sur ce point la jurisprudence du Tribunal administratif (arrêt EF.2015.0003 du 25 avril 2016).</w:t>
      </w:r>
    </w:p>
    <w:p>
      <w:r>
        <w:rPr>
          <w:b/>
        </w:rPr>
        <w:t>E. 5</w:t>
      </w:r>
    </w:p>
    <w:p>
      <w:r>
        <w:t>et ss RLEFI. Or, selon une jurisprudence constante, reprise par la CDAP (arrêt EF.2011.0003 du 23 novembre 2011), le recours à la valeur locative déterminante au niveau fiscal pour arrêter la valeur de rendement d'un immeuble doit être écarté. Ces montants ne sont en effet pas comparables, la valeur locative représentant une valeur d'usage du bien, alors que les règles d'estimation fiscale tendent en revanche à établir la valeur actuelle effective du bien au moment de l'estimation (cf. arrêts FI.2006.0058 du 17 août 2007; EF.1994.0092 du 24 novembre 1995, ainsi que les références citées). L’autorité intimée a retenu dans la décision attaquée une valeur de rendement calculée sur la base de 350 fr. le mètre carré, soit un loyer annuel de 53'900 francs. A cet égard, l'on rappellera que, selon les instructions, les commissions sont tenues d'établir, pour le calcul de la valeur de rendement en l'absence de loyer effectif, des valeurs moyennes; les revenus locatifs supputés doivent correspondre aux loyers normaux de la région. Les commissions de districts voisins sont de plus invitées à se consulter afin d'éviter de trop fortes disparités (v. dans ce sens, arrêt EF.2009.0003 du 18 mai 2010). En l’occurrence, l’autorité intimée n’a communiqué aucune valeur moyenne; elle s’est contentée d’indiquer de façon sommaire, dans la décision attaquée, que le montant de 350 fr. est «(…) conforme au marché locatif local pour ce type d’appartement de standing supérieur avec une situation excellente au bord du lac» . Elle n’a fourni aucun élément de comparaison mais a procédé à une visite des lieux. Quoi qu’il en soit, il est notoire que le prix des loyers dans cette région et notamment à ******** n'est certainement pas inférieur à 300 à 350 fr./m 2 . A titre de comparaison, le Tribunal cantonal a retenu dans un arrêt EF.2015.0003 du 25 avril 2016, que dans la région Pully-Lutry, un loyer de 350 fr./m 2 pour un appartement en PPE de 178 m 2 situé à La Conversion, sans jardin (mais avec patio et terrasse) et proche du chemin de fer, était raisonnable. La cour avait procédé à une comparaison détaillée des loyers de la région, qui oscillaient entre 350 et 400 fr./m 2 , analyse à laquelle il est renvoyé, en particulier s'agissant d'exemples de loyers usuels dans la région (arrêts EF.2016.0001 du 13 décembre 2016 consid. 4b; EF.2015.0003 du 25 avril 2016, consid. 4b, confirmé par arrêt du Tribunal fédéral 2C_494/2016 du 15 novembre 2016). On peut même se demander si, à ********, pour un objet situé au bord du lac, les loyers pratiqués ne sont pas nettement supérieurs à un tel montant. Du reste, les deux précédentes estimations se fondaient sur des loyers largement supérieurs, puisqu’elles ont arrêté à cet égard des montants mensuels de 11'117 fr.71 s’agissant de la décision du 4 septembre 2012, respectivement 18'346 fr.25 s’agissant de celle du 31 juillet 2013. Dès lors, il est certain qu’en retenant dans la décision attaquée une valeur de rendement théorique de 770'000 fr. ([350 fr. x 154 m 2 ] : 7%), l’autorité intimée n’a pas abusé du pouvoir d’appréciation qui lui est reconnu en la présente matière, ceci d’autant moins que cette valeur se révèle plutôt favorable au recourant. b) Le recourant fait valoir en second lieu que le prix auquel il a acquis cet appartement, 5'610'000 fr., ne serait pas représentatif de sa valeur vénale. Il indique avoir eu en quelque sorte un «coup de cœur» pour cet objet que les vendeurs, les époux B.________ et C.________, n’ont jamais habité et qu’ils avaient acquis neuf mois auparavant pour la somme de 3'420'833 fr., selon l’estimation fiscale du 4 septembre 2012. Selon ses explications, il n’y aurait pas lieu de tenir compte de cette différence, de près de 2'200'000 fr., qui démontrerait, selon lui, la volonté des vendeurs de spéculer sur la valeur de ce bien immobilier. A la suite de la vente du 28 décembre 2012, l’autorité intimée a arrêté le 31 juillet 2013 à 4'516'000 fr. l’estimation fiscale de cet appartement. Elle avait déjà retenu, dans cette décision, le montant de 5'610'000 fr.au titre de la valeur vénale de celui-ci. Or, cette décision est entrée en force, faute d’avoir été attaquée. Sans doute, le recourant requiert le nouvel examen de cette estimation fiscale, en invoquant l’art. 23 LEFI. Comme on l’a relevé plus haut, cette demande de nouvel examen ne se fonde toutefois sur aucun motif postérieur à la décision du 31 juillet 2013, Pour reprendre les termes de l’art. 64 al. 2 LPA-VD, qui fixe les conditions de la demande de nouvel examen en procédure administrative vaudoise, il n’est ni allégué que l'état de fait à la base de la décision se soit modifié dans une mesure notable depuis lors (let. a), ni invoqué des faits ou des moyens de preuve importants, que le recourant ne pouvait pas connaître lors de la première décision ou dont il ne pouvait pas ou n'avait pas de raison de se prévaloir à cette époque (let. b). Des explications du recourant, on ne retire aucune circonstance postérieure à la décision du 31 juillet 2013, entrée entre-temps en force, qui justifierait que l’on revienne sur la détermination de la valeur vénale de son appartement. La seule circonstance mise en avant par le recourant à l’appui de sa demande, à savoir le caractère purement spéculatif de l’opération, considérée comme .xtraordinaire» au sens où l’entend l’art. 9 RLEFI, préexistait déjà à la décision du 31 juillet 2013. Pour ce seul motif, la recevabilité de sa demande apparaissant comme étant douteuse, l’autorité intime n’avait pas à entrer en matière sur le moyen invoqué. A supposer toutefois que l’on retienne que le recourant ignorait encore, au moment de contester la décision précitée, que les vendeurs avaient réalisé une opération purement spéculative et qu’il puisse invoquer utilement un motif susceptible de conduire l’autorité à réexaminer sa décision précédente, le moyen mis en avant ne conduirait pas pour autant à modifier la décision attaquée. Il ressort sans doute de l’art. 9 RLEFI qu’il importe de ne pas tenir compte d’une vente purement spéculative pour déterminer la valeur vénale d’un bien immobilier. On relève sur ce point qu’il n’est guère usuel que le prix d’un appartement augmente de près de 65% sur une période de neuf mois à peine, sans que d’importants travaux n’y soient entrepris. Dès lors, on pourrait retenir que les vendeurs, qui n’ont jamais habité cet objet, n’ont cherché qu’à réaliser une opération purement spéculative, au demeurant fructueuse. Il n’en demeure pas moins que les vendeurs ont trouvé, sans grande difficulté apparemment, un acheteur, lequel a accepté de débourser le montant demandé pour acquérir cet objet. Il importe peu à cet égard que celui-ci ait d’emblée plu à cet acheteur et qu’il veuille absolument en devenir le propriétaire, au point qu’il n’ait pas négocié le prix de vente à la baisse. Cela démontre en effet l’existence d’un marché pour ce type d’appartement de luxe, construit en 2012, situé au dernier étage d’un bâtiment qui en compte quatre sur rez, avec vue directe sur le lac Léman et le rivage. Ainsi qu’il le reconnaît lui-même, c’est en effet à la suite d’un "coup de cœur" que le recourant a été conduit à s’acquitter d’un prix au demeurant élevé pour acquérir cet appartement. Or, cela ne constitue pas une circonstance extraordinaire au sens de l’art. 9 RLEFI, dont les conditions sont, faut-il le rappeler, restrictives. Par conséquent, on ne saurait faire grief à l’autorité intimée d’avoir retenu, au titre de la valeur de vénale, le prix de vente de cet appartement. c) On relève en dernier lieu que les estimations fiscales des sept autres appartements que le bâtiment «Sud», érigé sur la parcelle ********, abrite vont de 1'635'000 fr. pour la plus basse à 2'982'000 fr. pour la plus élevée. Ainsi, il s’avère qu’un écart inférieur à 7% sépare l’estimation fiscale de l’appartement du recourant, telle qu’arrêtée par la décision attaquée, 3'190'000 fr., et l’estimation la plus élevée des sept autres appartements de l’immeuble. Dans ces conditions, il n’apparaît pas que l’autorité intimée ait abusé du pouvoir d’appréciation qui lui est concédé en la présente matière.</w:t>
      </w:r>
    </w:p>
    <w:p>
      <w:r>
        <w:rPr>
          <w:b/>
        </w:rPr>
        <w:t>E. 6</w:t>
      </w:r>
    </w:p>
    <w:p>
      <w:r>
        <w:t>Il suit de ce qui précède que le recours doit être rejeté et la décision attaquée, confirmée. Un émolument judiciaire sera mis à la charge du recourant, celui-ci succombant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