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EF.2007.0004 vom 31. März 2008</w:t>
      </w:r>
    </w:p>
    <w:p>
      <w:r>
        <w:t>VD Tribunal cantonal, 2008-03-31, FR</w:t>
      </w:r>
    </w:p>
    <w:p>
      <w:r>
        <w:rPr>
          <w:b/>
        </w:rPr>
        <w:t xml:space="preserve">Quelle: </w:t>
      </w:r>
      <w:r>
        <w:t>https://mcp.opencaselaw.ch/entscheid/vd_omni_EF.2007.0004</w:t>
      </w:r>
    </w:p>
    <w:p>
      <w:r>
        <w:t>FR: VD_OMNI EF.2007.0004 du 31 mars 2008</w:t>
      </w:r>
    </w:p>
    <w:p>
      <w:r>
        <w:t>IT: VD_OMNI EF.2007.0004 del 31 marzo 2008</w:t>
      </w:r>
    </w:p>
    <w:p>
      <w:pPr>
        <w:pStyle w:val="Heading2"/>
      </w:pPr>
      <w:r>
        <w:t>Regeste</w:t>
      </w:r>
    </w:p>
    <w:p>
      <w:r>
        <w:t>Christinet/Commission d'estimation fiscale des immeubles du district de Lausanne | La date décisive pour la fixation des valeurs auxquelles la loi se référe pour déterminer l'estimation fiscale (VR, VV, taux de capitalisation, éléments déterminants du marché immobilier) est celle de la vente ou de la cession justifiant la mise à jour et non pas la date à laquelle l'autorité intimée a statué.</w:t>
      </w:r>
    </w:p>
    <w:p>
      <w:pPr>
        <w:pStyle w:val="Heading2"/>
      </w:pPr>
      <w:r>
        <w:t>Erwägungen</w:t>
      </w:r>
    </w:p>
    <w:p>
      <w:r>
        <w:rPr>
          <w:b/>
        </w:rPr>
        <w:t>E. 1</w:t>
      </w:r>
    </w:p>
    <w:p>
      <w:r>
        <w:t>Déposé dans le délai de trente jours prévu par l'art. 15 al. 2 de la loi vaudoise du 18 novembre 1935 sur l'estimation fiscale des immeubles (LEFI; RSV 642.21), le recours est intervenu en temps utile. Il est au surplus recevable en la forme.</w:t>
      </w:r>
    </w:p>
    <w:p>
      <w:r>
        <w:rPr>
          <w:b/>
        </w:rPr>
        <w:t>E. 2</w:t>
      </w:r>
    </w:p>
    <w:p>
      <w:r>
        <w:t>L'art. 36 let. a de la loi vaudoise du 18 décembre 1989 sur la juridiction et la procédure administrative (LJPA; RSV 173.36) prévoit que le recourant peut invoquer devant l'autorité de recours la violation du droit, y compris l'excès ou l'abus du pouvoir d'appréciation. Il ne peut invoquer l'inopportunité que si la loi spéciale le prévoit (art. 36 let. c LJPA). La LEFI ne comportant aucune disposition étendant le pouvoir de l'autorité de recours au contrôle de l'opportunité, le pourvoir d'examen de la Cour de droit administratif et public est par conséquent limité au contrôle de la légalité de la décision attaquée. Selon sa jurisprudence, le tribunal renonce à corriger l'estimation fiscale lorsque la valeur contestée et celle à laquelle il aboutit est inférieure à 5%, marge en deçà de laquelle il considère qu'il n'y a pas abus du pouvoir d'appréciation (voir Tribunal administratif, arrêts EF.1998.0006 du 17 juin 1998; EF.1996.0044 du 24 septembre 1996; EF.1993.0029 du 8 septembre 1993; EF.1992.0039 du 1 er juillet 1993).</w:t>
      </w:r>
    </w:p>
    <w:p>
      <w:r>
        <w:rPr>
          <w:b/>
        </w:rPr>
        <w:t>E. 3</w:t>
      </w:r>
    </w:p>
    <w:p>
      <w:r>
        <w:t>Conformément à l’art. 20 LEFI,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En l'espèce, le recourant est devenu l'unique propriétaire de la parcelle n o 4'438 ensuite de l'achat de la part de copropriété de son frère; la commission était donc fondée à revoir l'appréciation de l'estimation fiscale de la parcelle n o 4'438. La date décisive pour la fixation des valeurs auxquelles la loi se réfère pour déterminer l'estimation fiscale (valeur de rendement, valeur vénale, taux de capitalisation, éléments déterminant du marché immobilier) est celle de la conclusion du contrat de vente, soit le 19 décembre 2005, et non pas la date à laquelle l'autorité intimée a statué. En effet, la mise à jour intervient à la suite de faits déterminés (énumérés à l'art. 20 LEFI) et postule par conséquent une estimation à une date donnée, soit celle de la vente ou de la cession justifiant la révision, respectivement le 1 er janvier de l'année suivante (arrêts EF.2000.0014 du 5 février 2001, EF.1999.0018 du 27 janvier 2000 et les références).</w:t>
      </w:r>
    </w:p>
    <w:p>
      <w:r>
        <w:rPr>
          <w:b/>
        </w:rPr>
        <w:t>E. 4</w:t>
      </w:r>
    </w:p>
    <w:p>
      <w:r>
        <w:t>Aux termes de l'art. 2 LEFI, l'estimation fiscale est faite par biens-fonds en prenant la moyenne entre sa valeur de rendement et sa valeur vénale (al. 1). La valeur fiscale ne peut toutefois pas être supérieure à la valeur vénale (al. 2). En l'espèce, le recourant conteste tant la valeur de rendement que la valeur vénale retenues par l'autorité intimée.</w:t>
      </w:r>
    </w:p>
    <w:p>
      <w:r>
        <w:rPr>
          <w:b/>
        </w:rPr>
        <w:t>E. 5</w:t>
      </w:r>
    </w:p>
    <w:p>
      <w:r>
        <w:t>a) Selon l'art. 2 al. 3 LEFI, la valeur de rendement d'un immeuble correspond au rendement brut ou net capitalisé à un taux tenant compte du loyer de l'argent et des charges annuelles et périodiques. L'art. 7 al. 1 du règlement du 22 décembre 1936 sur l'estimation fiscale des immeubles (REFI; RSV 642.21.1) précise que la capitalisation du rendement s'opère sur la base du 5 à 6% du rendement net ou, dans la règle, du 6 à 9% du rendement brut selon le genre d'immeuble. Les instructions du Chef du Département des finances pour les Commissions de district d'estimation fiscale des immeubles du 20 novembre 1992 (ci-après: les instructions) prévoient qu'à défaut de loyer ou si celui-ci ne correspond pas aux loyers normaux de la région, le revenu locatif est déterminé par la surface habitable et le prix unitaire par m 2 ; pour des maisons d'habitation, le prix unitaire peut être estimé, en règle générale, entre 100 fr. et 200 fr. par m 2 . En l'espèce, l'autorité intimée a retenu une surface habitable de 110 m 2 estimée au prix de 150 fr. le m 2 , soit un revenu locatif de 16'500 fr. par année. b) Le recourant conteste la surface habitable de 110 m2. C'est pourtant le chiffre qu'il a indiqué dans le formulaire de révision qu'il a dû remplir à l'attention de la commission et qui avait été retenu dans la précédente estimation fiscale. Selon les plans, le bâtiment présente quatre façades égales de huit mètres, ce qui donne une surface au sol de 64 m 2 , soit 128 m 2 pour les deux étages habitables. Le recourant considère qu'il faut déduire de cette surface de 128 m 2 les cages d'escaliers et les murs extérieurs. Il arrive ainsi selon son calcul à une surface habitable de 99 m 2 . Les instructions ne donnent aucune précision sur la manière de calculer la surface habitable. On peut toutefois s'inspirer des règles qui ont été développées en matière de détermination de la valeur locative. Selon les instructions générales de l'Administration cantonale des impôts pour la période fiscale 2007, entrent en considération pour le calcul de la surface du logement les pièces habitables, la cuisine, les salles de bains, cabinets de toilette et douches, les halls, vestibules et escaliers à l'intérieur du logement, les vérandas fermées, les combles habitables et mansardes; n'entrent en revanche pas en considération les galetas, cagibis et combles non habitables, les balcons, terrasses et galeries ouvertes, les caves et autres locaux de service (buanderie, étendage, carnotzet), les garages et remises. On constate que les escaliers à l'intérieur du logement - le tribunal a pu constater lors de l'inspection locale que les deux étages habitables constituaient un seul logement - entrent contrairement à l'avis du recourant dans le calcul de la surface habitable. Seule la surface des murs extérieurs, soit 19,20 m 2 (30 cm x 8 m de façade x 4 murs x 2 étages), doit donc être déduite de la surface de 128 m 2 . On arrive ainsi à une surface de 108,8 m2, à laquelle il faudrait ajouter la surface de la salle de bains (environ</w:t>
      </w:r>
    </w:p>
    <w:p>
      <w:r>
        <w:rPr>
          <w:b/>
        </w:rPr>
        <w:t>E. 6</w:t>
      </w:r>
    </w:p>
    <w:p>
      <w:r>
        <w:t>a) A teneur de l'art. 2 al. 4 LEFI, la valeur vénale d'un immeuble représente la valeur marchande de celui-ci. Selon l'art. 8 REFI,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d'immeubles, la nécessité d'amortissement, les risques de placement sur ces immeubles (al. 2). b) L'art. 9 REFI précise que les ventes qui ont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La jurisprudence entend par "ventes qui ont eu lieu dans des circonstances extraordinaires" , non seulement les ventes dont le prix est manifestement trop bas, mais également celles dont le prix est nettement trop élevé (arrêt EF.2001.0003 du 14 novembre 2001 et les références citées). 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Ainsi, la commission est fondée si elle constate, sans procéder à d'amples investigations, que le prix convenu est inférieur à la valeur marchande de l'immeuble, soit que la loi du marché a été manifestement entravée par une circonstance extraordinaire, à abandonner ce critère pour se fonder sur d'autres indications de nature essentiellement comparative (art. 8 al. 2 REFI) ou en appliquant les méthodes d’estimation prévues par les instructions (arrêt EF.2000.0012 du 29 décembre 2004; arrêt EF.2001.0003 précité). En l'espèce, le prix payé par le recourant pour l'acquisition de la part de copropriété de son frère n'est pas déterminant pour fixer la valeur marchande de l'immeuble; le prix payé a en effet été calculé sur la base de la valeur de la précédente estimation fiscale, soit à une valeur bien inférieure à la valeur vénale du bien (l'estimation fiscale étant une moyenne entre la valeur de rendement et la valeur vénale; en l'occurrence, la précédente estimation fiscale avait été arrêtée à 257'000 fr. compte tenu d'une valeur de rendement de 176'000 fr. et d'une valeur vénale de 339'000 fr.); il s'agit donc bien d'une vente dans des circonstances extraordinaires au sens de l'art. 9 REFI. Dans ces conditions, c'est à juste titre que l'autorité intimée n'a pas tenu compte du prix d'achat payé par le recourant pour déterminer la valeur vénale de l'immeuble. c) Le tribunal s'en tiendra donc aux critères définis par la législation régissant l'estimation fiscale tels qu'ils sont précisés dans les instructions pour déterminer la valeur vénale de l'immeuble. Le bâtiment présente un volume total de 759 m 3 . Seuls deux niveaux (représentant un peu plus de 400 m 3 ) sont toutefois habitables. Dans ces conditions, le tribunal estime à 600 fr. le m 3 la valeur à neuf moyenne à attribuer à l'ensemble du bâtiment, soit une valeur intrinsèque de 455'400 francs. Il faut pondérer cette valeur pour tenir compte de l'état de vétusté important du bâtiment. On appliquera le même coefficient que celui retenu dans la précédente estimation fiscale, soit 40%, ce qui donne un résultat de 273'240 francs. Il faut ajouter à ce montant le prix du terrain. La commission l'a évalué à 500 fr. le m 2 . Compte tenu de l'exiguïté de la parcelle et de son statut juridique qui fait obstacle à toute construction nouvelle - certes abrogé, mais après la date déterminante pour la fixation de l'estimation fiscale (voir consid. 3) -, le tribunal juge ce montant excessif. Quant au prix de 250 fr. le m 2 demandé par le recourant (qui correspond à celui retenu par le Tribunal administratif dans le cadre de la dernière estimation fiscale), il ne tient pas compte de l'évolution du marché. Tout bien considéré, le tribunal estime à 400 fr. le m 2 le montant du prix du terrain. Le tribunal parvient ainsi à une valeur vénale totale de 481'640 fr., soit 273'240 fr. pour la construction et 208'400 fr. pour le terrain.</w:t>
      </w:r>
    </w:p>
    <w:p>
      <w:r>
        <w:rPr>
          <w:b/>
        </w:rPr>
        <w:t>E. 7</w:t>
      </w:r>
    </w:p>
    <w:p>
      <w:r>
        <w:t>En conclusion, l'estimation fiscale de la parcelle n o 4'438, correspondant à la moyenne entre sa valeur de rendement et sa valeur vénale, s'élève ainsi à 342'962 fr., arrondie à 342'000 fr. conformément à l'art. 29 REFI, en lieu et place du montant contesté de 401'000 francs. La différence entre l'estimation de la commission et celle du tribunal, soit 59'000 fr., étant supérieure à 5% (voir consid. 2 in fine), le recours doit être partiellement admis et la décision attaquée réformée en ce sens que l'estimation fiscale de la parcelle n o 4'438 est arrêtée à 342'000 francs.</w:t>
      </w:r>
    </w:p>
    <w:p>
      <w:r>
        <w:rPr>
          <w:b/>
        </w:rPr>
        <w:t>E. 8</w:t>
      </w:r>
    </w:p>
    <w:p>
      <w:r>
        <w:t>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