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EF.1999.0017 vom 2. Dezember 1999</w:t>
      </w:r>
    </w:p>
    <w:p>
      <w:r>
        <w:t>VD Tribunal cantonal, 1999-12-02, FR</w:t>
      </w:r>
    </w:p>
    <w:p>
      <w:r>
        <w:rPr>
          <w:b/>
        </w:rPr>
        <w:t xml:space="preserve">Quelle: </w:t>
      </w:r>
      <w:r>
        <w:t>https://mcp.opencaselaw.ch/entscheid/vd_omni_EF.1999.0017</w:t>
      </w:r>
    </w:p>
    <w:p>
      <w:r>
        <w:t>FR: VD_OMNI EF.1999.0017 du 2 décembre 1999</w:t>
      </w:r>
    </w:p>
    <w:p>
      <w:r>
        <w:t>IT: VD_OMNI EF.1999.0017 del 2 dicembre 1999</w:t>
      </w:r>
    </w:p>
    <w:p>
      <w:pPr>
        <w:pStyle w:val="Heading2"/>
      </w:pPr>
      <w:r>
        <w:t>Regeste</w:t>
      </w:r>
    </w:p>
    <w:p>
      <w:r>
        <w:t>CLERC Régina c/CEFI de Lausanne | L'estimation fiscale est arrêtée à la valeur de sortie de l'immeuble, lorsque la valeur de rendement est supérieure à la valeur de sortie, vu l'art. 2 al. 2 LEFI. En l'espèce, valeur de rendement inférieur à la valeur de sortie, d'où applic. de l'art. 2 al. 1 LEFI.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%, justifie l'intervention du tribunal. La décision attaquée doit être réformée dans ce sens. 7.                     Les considérants qui précèdent conduisent à l'admission partielle du recours (la recourante a conclu à une estimation fiscale de 56'000 fr.), les frais du présent arrêt étant laissés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