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CR.2025.0016 vom 8. Juli 2025</w:t>
      </w:r>
    </w:p>
    <w:p>
      <w:r>
        <w:t>VD Tribunal cantonal, 2025-07-08, FR</w:t>
      </w:r>
    </w:p>
    <w:p>
      <w:r>
        <w:rPr>
          <w:b/>
        </w:rPr>
        <w:t xml:space="preserve">Quelle: </w:t>
      </w:r>
      <w:r>
        <w:t>https://mcp.opencaselaw.ch/entscheid/vd_omni_CR.2025.0016</w:t>
      </w:r>
    </w:p>
    <w:p>
      <w:r>
        <w:t>FR: VD_OMNI CR.2025.0016 du 8 juillet 2025</w:t>
      </w:r>
    </w:p>
    <w:p>
      <w:r>
        <w:t>IT: VD_OMNI CR.2025.0016 del 8 luglio 2025</w:t>
      </w:r>
    </w:p>
    <w:p>
      <w:pPr>
        <w:pStyle w:val="Heading2"/>
      </w:pPr>
      <w:r>
        <w:t>Regeste</w:t>
      </w:r>
    </w:p>
    <w:p>
      <w:r>
        <w:t>A.________/Service des automobiles et de la navigation | En dépassant de 27 km/h la vitesse maximale autorisée en localité, le recourant a commis une infraction grave au sens de l'art. 16c LCR. Pas de motif de s'écarter de l'état de fait retenu dans le jugement pénal, en particulier s'agissant de la licéité du contrôle radar (consid.3). Pas de violation du droit d'être entendu, les décisions du SAN étant suffisamment motivées (consid. 2). Pas de violation du principe de la célérité (consid.4). Confirmation du retrait du permis de conduire du recourant pour une durée de 12 mois, vu son antécédent.</w:t>
      </w:r>
    </w:p>
    <w:p>
      <w:pPr>
        <w:pStyle w:val="Heading2"/>
      </w:pPr>
      <w:r>
        <w:t>Erwägungen</w:t>
      </w:r>
    </w:p>
    <w:p>
      <w:r>
        <w:rPr>
          <w:b/>
        </w:rPr>
        <w:t>E. 1</w:t>
      </w:r>
    </w:p>
    <w:p>
      <w:r>
        <w:t>Déposé dans le délai de trente jours fixé par l’art. 95 de la loi du 28 octobre 2008 sur la procédure administrative (LPA-VD; BLV 173.36), le recours est intervenu en temps utile. Il convient de relever ici que le délai de recours est clairement respecté si le dies a quo est celui de la notification de la seconde décision; il n'y a au demeurant pas lieu d'examiner pourquoi le SAN a envoyé deux décisions matériellement identiques car cela n'a aucune influence pour le traitement du recours. Le conducteur qui conteste un retrait de son permis de conduire a qualité pour recourir (art. 75 let. a LPA-VD, par renvoi de l'art. 99 LPA-VD). Le recours respecte au surplus les conditions formelles énoncées à l’art. 79 LPA-VD, de sorte qu'il y a lieu d'entrer en matière sur le fond.</w:t>
      </w:r>
    </w:p>
    <w:p>
      <w:r>
        <w:rPr>
          <w:b/>
        </w:rPr>
        <w:t>E. 2</w:t>
      </w:r>
    </w:p>
    <w:p>
      <w:r>
        <w:t>Le recourant fait valoir que le SAN aurait rendu les décisions attaquées, sans même traiter, en 15 mois de procédure, ses arguments exposant que les faits retenus découleraient exclusivement d'une preuve obtenue de manière illicite. a) L'art. 42 LPA-VD définit le contenu des décisions administratives, qui doivent en particulier mentionner les faits, les règles juridiques et les motifs (let. c). Le droit à la motivation d’une décision est une garantie constitutionnelle de caractère formel qui découle du droit d’être entendu (art. 29 al. 2 de la Constitution fédérale du 18 avril 1999 [Cst.; RS 101]). La jurisprudence en déduit l'obligation pour l'autorité de motiver sa décision, afin que le destinataire puisse la comprendre, l'attaquer utilement s'il y a lieu et que l'autorité de recours puisse exercer son contrôle. Pour répondre à ces exigences, il suffit que l'autorité mentionne, au moins brièvement, les motifs qui l'ont guidée et sur lesquels elle a fondé sa décision de manière à ce que l'intéressé puisse se rendre compte de la portée de celle-ci et l'attaquer en connaissance de cause ( ATF 143 III 65 consid. 5.2). L'autorité n'a pas l'obligation d'exposer et de discuter tous les faits, moyens de preuve et griefs invoqués par les parties, mais peut au contraire se limiter à l'examen des questions décisives pour l'issue du litige ( ATF 142 II 154 consid. 4.2). Dès lors que l'on peut discerner les motifs qui ont guidé la décision de l'autorité, le droit à une décision motivée est respecté même si la motivation présentée est erronée. La motivation peut pour le reste être implicite et résulter des différents considérants de la décision ( ATF 141 V 557 consid. 3.2.1; TF 1C_44/2019 du 29 mai 2019 consid. 3). b) En matière de répression des infractions relatives à la circulation routière, le droit suisse connaît le système de la double procédure pénale et administrative: le juge pénal se prononce sur la culpabilité ainsi que sur les sanctions pénales (amende, peine pécuniaire, travail d'intérêt général ou peine privative de liberté) prévues par les dispositions pénales de la LCR, soit ses art. 90 ss, tandis que les autorités administratives compétentes décident de mesures administratives (avertissement ou retrait de permis) prévues par les art. 16 ss LCR. Une certaine coordination s'impose entre ces deux procédures. Selon la jurisprudence, l'autorité administrative statuant sur un retrait du permis de conduire ne peut en principe pas s'écarter des constatations de fait d'un jugement pénal entré en force. La sécurité du droit commande en effet d'éviter que l'indépendance du juge pénal et du juge administratif ne conduise à des jugements opposés, rendus sur la base des mêmes faits (ATF 139 II 95 consid. 3.2 et les arrêts cités; TF 1C_105/2022 du 14 février 2023 consid. 3.3). L'autorité administrative ne peut s'écarter du jugement pénal que si elle est en mesure de fonder sa décision sur des constatations de fait inconnues du juge pénal ou qui n'ont pas été prises en considération par celui-ci,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la circulation (ATF 139 II 95 précité, ATF 129 II 312 consid. 2.4 et les réf. cit.). Cela vaut non seulement lorsque le jugement pénal a été rendu au terme d'une procédure publique ordinaire au cours de laquelle les parties ont été entendues et des témoins interrogés, mais également, à certaines conditions, lorsque la décision a été rendue à l'issue d'une procédure sommaire, même si la décision pénale se fonde uniquement sur le rapport de police. Il en va notamment ainsi lorsque la personne impliquée savait ou aurait dû prévoir, en raison de la gravité des faits qui lui sont reprochés, qu'il y aurait également une procédure de retrait de permis. Dans cette situation, la personne impliquée est tenue, en vertu des règles de la bonne foi, de faire valoir ses moyens dans le cadre de la procédure pénale, le cas échéant en épuisant les voies de recours à sa disposition. Elle ne peut pas attendre la procédure administrative pour exposer ses arguments (TF 1C_486/2023 du 16 avril 2024 consid. 2.1, 1C_470/2023 du 22 février 2024 consid. 2.1 et les réf. cit.). c) En l'espèce, le recourant a été condamné par jugement du Tribunal de police pour violation grave des règles de la circulation routière au sens de l'art. 90 al. 2 LCR pour avoir circulé à une vitesse de 77 km/h, après déduction de la marge de sécurité, au lieu des 50 km/h autorisés. À la suite des arrêts rendus par la Cour d'appel pénale, puis par le Tribunal fédéral, le jugement pénal du 13 septembre 2022 est entré en force. La lecture de la première décision du SAN et de ses décisions sur réclamation permet de comprendre que cette autorité administrative a considéré qu'elle n'avait aucun motif de s'écarter des faits retenus dans le jugement pénal – soit que le recourant a dépassé de 27 km/h la vitesse maximale autorisée en localité (50 km/h) – ou autrement dit qu'aucune des hypothèses prévues par la jurisprudence permettant de s'écarter du jugement pénal n'était réalisée en l'espèce. La motivation de l'autorité intimée est suffisante au regard des garanties du droit d'être entendu. Avec les indications contenues en particulier dans les décisions sur réclamation, le recourant était en mesure de recourir au Tribunal cantonal en connaissance de cause.</w:t>
      </w:r>
    </w:p>
    <w:p>
      <w:r>
        <w:rPr>
          <w:b/>
        </w:rPr>
        <w:t>E. 3</w:t>
      </w:r>
    </w:p>
    <w:p>
      <w:r>
        <w:t>Le recourant fait valoir que le constat technique de son excès de vitesse aurait été obtenu de manière illicite, de sorte que le SAN aurait dû s'écarter du jugement pénal et considérer que cet excès de vitesse n'était pas établi. Or, le fait dont le recourant entend maintenant se prévaloir dans le cadre de la procédure administrative – à savoir que le véhicule du policier ayant procédé au contrôle de vitesse était mal arrêté ou stationné – n'est pas un fait nouveau dont il n'aurait pas pu se prévaloir au cours de la procédure pénale. Il l'a d'ailleurs fait en écrivant à la police le 28 novembre 2021, puis lors de son audition par le procureur le 17 février 2022 – comme cela ressort du jugement pénal du 13 septembre 2022. Il ressort également de ce jugement que l'agent de police en charge du contrôle s'est déterminé à ce sujet le 23 février 2022 en exposant notamment, concernant la position du véhicule lors du contrôle, qu'il était arrêté en bordure de trottoir dans un terrain herbeux qui se trouve sur le domaine public. Dans son opposition du 22 mars 2022, le recourant semble avoir fait état du dysfonctionnement de l'appareil de mesures et mis en cause les aptitudes de l'opérateur du contrôle, sans revenir sur la position du véhicule. Le Tribunal de police a examiné le bon fonctionnement de l'appareil de mesures – en particulier la précision du relevé de celui-ci compte tenu des conditions dans lesquelles le contrôle a été opéré – ainsi que les aptitudes de l'agent de police, opérateur du contrôle. Le Tribunal de police n'a pas retenu de motif qui aurait justifié d'écarter le contrôle technique comme moyen de preuve. En particulier, il n'a pas jugé que ce moyen de preuve était illicite en raison de l'endroit où l'agent de police avait arrêté son véhicule (voir notamment TF 6B_468/2022 du 12 janvier 2023 consid. 2.2 s'agissant de la licéité du comportement de policiers ayant installé un radar sur une parcelle privée). Si le recourant entendait encore contester la licéité de ce contrôle, il lui appartenait de le faire en saisissant valablement la Cour d'appel pénale. Le recourant n'apporte aucun élément nouveau. Les renseignements donnés par l'OFROU quant à la licéité de l'arrêt ou du stationnement d'un véhicule devant un panneau indicateur de direction sont des renseignements généraux – qui ne traitent pas de la licéité de l'arrêt ou du stationnement d'un véhicule de police lors d'un contrôle radar –, qui ne justifient pas que l'autorité administrative s'écarte de l'état de fait à la base du jugement pénal. Par conséquent, l'autorité administrative n'a pas violé le droit fédéral en se considérant comme liée par l'état de fait à la base du jugement pénal. Le recourant ne conteste pas, à juste titre, la qualification de l’infraction retenue par l’autorité intimée, à savoir pour un excès de vitesse de 27 km/h en localité, un cas grave selon l’art. 16c al. 1 let. a LCR et conformément à la jurisprudence du Tribunal fédéral (voir notamment ATF 143 IV 508 consid. 1.3; ATF 132 II 234 consid. 3.1 et les références citées; TF 6B_1065/ 2023 du 17 mai 2024 consid. 1.1) ni la durée du retrait du permis de conduire, 12 mois, qui correspond au minimum légal de l’art. 16c al. 2 let. c LCR. L'autorité intimée n'a dès lors pas violé le droit fédéral en rendant la décision attaquée.</w:t>
      </w:r>
    </w:p>
    <w:p>
      <w:r>
        <w:rPr>
          <w:b/>
        </w:rPr>
        <w:t>E. 4</w:t>
      </w:r>
    </w:p>
    <w:p>
      <w:r>
        <w:t>Le recourant se plaint également d'une violation du principe de célérité. a) L'art.  29 al. 1 Cst. garantit à toute personne, dans une procédure judiciaire ou administrative, le droit à ce que sa cause soit traitée dans un délai raisonnable. L'autorité viole cette garantie constitutionnelle lorsqu'elle ne rend pas la décision qu'il lui incombe de prendre dans le délai prescrit par la loi ou dans un délai que la nature de l'affaire ainsi que toutes les autres circonstances font apparaître comme raisonnable. Le caractère raisonnable du délai s'apprécie selon les circonstances particulières de la cause, eu égard notamment à la complexité de l'affaire, à l'enjeu du litige pour l'intéressé, à son comportement ainsi qu'à celui des autorités compétentes ( ATF 143 IV 373 consid. 1.3.1). En matière de circulation routière, la durée minimale du retrait du permis de conduire ne peut en principe pas être abaissée en raison d'une violation du droit d'être jugé dans un délai raisonnable ancré à l'art. 29 al. 1 Cst . ( ATF 135 II 334 consid. 2.2; TF 1C_140/2025 du 2 avril 2025 consid. 3, 1C_150/2021 du 3 novembre 2021 consid. 3.2 et 3.3). Le Tribunal fédéral a toutefois réservé les cas où cette durée était gravement dépassée, de sorte que la mesure de retrait aurait perdu tout effet éducatif ou d'amendement ( ATF 135 II 334 consid. 2.3). Si la violation du principe de célérité a été constatée à plusieurs reprises dans la jurisprudence, il n'en a pas moins été retenu que, même dans l'hypothèse d'une durée jugée contraire au principe de célérité – en l'occurrence de 9 ans et 3 mois –, elle ne pesait pas d'un poids important au point de justifier exceptionnellement de renoncer au retrait du permis de conduire (TF 1C_208/2019 du 2 octobre 2019 consid. 2.1, 1C_190/2018 du 21 août 2018 consid. 5.1). b) En l'occurrence, le SAN a informé le recourant du fait qu'il envisageait de lui retirer son permis de conduire le 18 août 2023, soit environ quatre mois après l'arrêt du Tribunal fédéral du 13 avril 2023. Comme le relève le SAN, le recourant ayant interjeté appel contre le jugement pénal du 13 septembre 2022, puis déposé un recours contre l'arrêt de la Cour d'appel pénale du 23 décembre 2022, il devait compter que le SAN attende l'issue de la procédure pénale avant de prononcer la mesure administrative. Le SAN a ensuite rendu la décision prononçant le retrait du permis de conduire du recourant par décision du 4 octobre 2023. Il est vrai que le SAN n'a statué sur la réclamation déposée par le recourant le 8 novembre 2023 qu'au début de l'année 2025, soit après plus de 15 mois. Cette durée bien qu'importante ne peut toutefois pas encore être considérée comme excessive. Il s'est par ailleurs écoulé moins de quatre ans entre les faits reprochés et l'arrêt rendu ce jour, ce qui n'est pas constitutif d'une violation du principe de célérité (cf. notamment TF 1C_650/2022 du 31 mars 2023 consid. 4.1.2 et les références citées, dont il ressort qu'une durée de cinq ans jusqu'à la décision administrative ne dépasse pas les limites temporelles exposées au gré de la jurisprudence).</w:t>
      </w:r>
    </w:p>
    <w:p>
      <w:r>
        <w:rPr>
          <w:b/>
        </w:rPr>
        <w:t>E. 5</w:t>
      </w:r>
    </w:p>
    <w:p>
      <w:r>
        <w:t>Il découle des considérants qui précèdent que le recours, mal fondé, doit être rejeté et les décisions attaquées confirmées, également en ce qu'il est prévu que la mesure s'exécutera au plus tard dès le 17 septembre 2025 et jusqu'au 16 septembre 2026. Le recourant, qui succombe, supportera les frais de la cause (art. 49, 91 et 99 LPA-VD). Il n'y a pas lieu d'allouer des dépens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