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CR.2025.0010 vom 8. Juli 2025</w:t>
      </w:r>
    </w:p>
    <w:p>
      <w:r>
        <w:t>VD Tribunal cantonal, 2025-07-08, FR</w:t>
      </w:r>
    </w:p>
    <w:p>
      <w:r>
        <w:rPr>
          <w:b/>
        </w:rPr>
        <w:t xml:space="preserve">Quelle: </w:t>
      </w:r>
      <w:r>
        <w:t>https://mcp.opencaselaw.ch/entscheid/vd_omni_CR.2025.0010</w:t>
      </w:r>
    </w:p>
    <w:p>
      <w:r>
        <w:t>FR: VD_OMNI CR.2025.0010 du 8 juillet 2025</w:t>
      </w:r>
    </w:p>
    <w:p>
      <w:r>
        <w:t>IT: VD_OMNI CR.2025.0010 del 8 luglio 2025</w:t>
      </w:r>
    </w:p>
    <w:p>
      <w:pPr>
        <w:pStyle w:val="Heading2"/>
      </w:pPr>
      <w:r>
        <w:t>Regeste</w:t>
      </w:r>
    </w:p>
    <w:p>
      <w:r>
        <w:t>A.________/Service des automobiles et de la navigation | Recours contre une décision sur réclamation du SAN qui fixe les conditions de restitution du droit de conduire de l'intéressé. Celui-ci s'est soumis à une expertise auprès de l'UMPT qui conclut à son inaptitude à la conduite en raison d'une dépendance à l'égard de l'éthanol et des benzodiazépines. Aucun élément ne permet de se distancer du rapport de l'UMPT (consid. 3). Les conditions posées à la restitution par le SAN respectent le principe de proportionnalité (consid. 4).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autres conditions formelles énoncées par l'art. 79 LPA-VD (par renvoi de l'art. 99 LPA-VD), de sorte qu’il y a lieu d'entrer en matière sur le fond.</w:t>
      </w:r>
    </w:p>
    <w:p>
      <w:r>
        <w:rPr>
          <w:b/>
        </w:rPr>
        <w:t>E. 2</w:t>
      </w:r>
    </w:p>
    <w:p>
      <w:r>
        <w:t>Est litigieux le retrait de sécurité du permis de conduire du recourant prononcé par l'autorité intimée au motif que celui-ci présente une dépendance à l'égard de l'éthanol et des benzodiazépines. a) L'art. 14 de la loi fédérale du 19 décembre 1958 sur la circulation routière (LCR; RS 741.01)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qu'il ne souffre d'aucune dépendance qui l'empêche de conduire un véhicule automobile en toute sécurité (al. 2 let. c), et que ses antécédents attestent qu'il respecte les règles en vigueur ainsi que les autres usagers de la route (al. 2 let. d). Selon l'art. 16 al. 1, 1 ère phrase, LCR, les permis et les autorisations seront retirés lorsque l'autorité constate que les conditions légales de leur délivrance ne sont pas ou plus remplies. L'art. 16d LCR, qui régit le retrait du permis de conduire pour cause d'inaptitude à la conduite, dispose à son premier alinéa que le permis d'élève conducteur ou le permis de conduire est retiré pour une durée indéterminée à la personne dont les aptitudes physiques et psychiques ne lui permettent pas ou plus de conduire avec sûreté un véhicule automobile (let. a), ainsi qu'à la personne qui souffre d'une forme de dépendance la rendant inapte à la conduite (let. b). b) Il résulte de la jurisprudence que l'existence d'une dépendance au sens de l'art. 16d al. 1 let. b LCR est admise si la personne concernée consomme régulièrement des quantités exagérées d'alcool ou de drogue,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 disposition légale précitée ne recoupe donc pas la notion médicale de dépendance; la notion juridique permet déjà d'écarter du trafic les personnes qui, par une consommation abusive d'alcool ou de drogue, se mettent concrètement en danger de devenir dépendantes au sens médical (Tribunal fédéral [TF], arrêt 1C_243/2007 du 6 novembre 2007 consid. 2.1 et les réf. cit.; ATF 129 II 82 consid. 4.1; CDAP, arrêts CR.2020.0014 du 2 juin 2020 consid. 2; CR.2017.0043 du 22 janvier 2018 consid. 2b/aa; CR.2015.0066 du 28 janvier 2016 consid. 3b; CR.2014.0088 du 13 avril 2015 consid. 3b; C. Mizel, Droit et pratique illustrée du retrait du permis de conduire, Berne 2015, pp. 157 s., et les réf. cit.).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140 II 334 consid. 3; 139 II 95 consid. 3.2;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9C_137/2013 du 22 juillet 2013 consid. 3.1; arrêts CDAP CR.2014.0068 précité consid. 3c; CR.2013.0072 précité consid. 2c; CR.2012.0068 du 7 décembre 2012 consid. 1a). d) En l'espèce, le permis de conduire du recourant a été saisi le 15 octobre 2021 suite à la conduite d'un véhicule automobile alors qu'il présentait un taux d'alcoolémie de 0,83 mg/l (à l'éthylomètre). Après avoir prononcé le retrait préventif de son permis de conduire, l'autorité intimée en a prononcé le retrait de sécurité et en a subordonné la restitution aux conclusions favorables d'une expertise auprès d'un médecin de niveau 4 (décision du 12 octobre 2022). Le recourant s'est soumis à une expertise auprès de l'UMPT, qui a conclu, dans son rapport du 4 mai 2023, qu'il était inapte à conduire en raison d'une dépendance à l'égard de l'éthanol et des benzodiazépines. Se basant sur les conclusions de cette expertise, l'autorité intimée a, par la décision sur réclamation du 17 janvier 2025 dont est recours, subordonné la révocation du retrait de sécurité du permis de conduire du recourant à différentes conditions. aa) Concernant en premier lieu les exigences que doit respecter une expertise pour constituer une base de décision suffisante en matière de retrait de sécurité, on constate que l'UMPT est une institution spécialisée dans l'évaluation de l'aptitude à la conduite des véhicules automobiles, indépendante du SAN. On constate en outre que, sous l'égide d'un médecin spécialisé en médecine du trafic SSML (Société suisse de médecine légale), les examens médicaux nécessaires à l'appréciation du cas du recourant ont été effectués. Les informations pertinentes ont été recueillies - notamment au cours d'un entretien avec l'expertisé, le 13 mars 2023 -; une anamnèse circonstanciée a été établie; des analyses et des examens ont été effectués et les résultats présentés; l'appréciation médicale du cas a été exposée et discutée au sein de l'équipe d'experts de l'UMPT. Enfin, l'expert a motivé les conclusions auxquelles il a abouti. L'expertise réalisée apparaît dès lors conforme aux exigences de la jurisprudence sur le plan de la méthode de mise en œuvre. bb) Sur le fond, il ressort de l'expertise de l'UMPT que les analyses des échantillons de sang et d'urine du recourant ainsi que d'un segment de ses cheveux prélevés le 13 mars 2023 ont montré un dépistage urinaire pour les benzodiazépines, une valeur de PEth dans le sang de 870 microgrammes/litre, une valeur d'EtG dans les cheveux de 84 pg/mg, ainsi que la présence dans les cheveux de nordiazépam et bromazépam à des valeurs compatibles avec une consommation répétée de bromazépam et diazépam durant les deux à trois mois précédant le prélèvement. Les experts ont souligné que ces valeurs n'étaient pas compatibles avec les déclarations de l'intéressé selon lesquelles il observait une abstinence totale à l'égard de l'éthanol depuis en tout cas trois mois (en prévision de l'expertise) et à l'égard des benzodiazépines depuis "plusieurs années". Les experts ont en outre posé un diagnostic de dépendance à l'égard de l'alcool et des benzodiazépines selon les critères de la CIM-10 (10 ème version de la Classification internationale des maladies par l'Organisation mondiale de la santé [OMS]). Ils ont en effet retenu trois critères de dépendance: la poursuite de la consommation d'alcool et de la prise de benzodiazépines malgré la survenance de conséquences manifestement nocives, notamment en lien avec le droit de conduire (la prévision de l'expertise); un désir puissant de consommer de l'alcool et de prendre des benzodiazépine; des difficultés à contrôler la consommation d'alcool et la prise de benzodiazépines, dès lors que cette consommation et cette prise (en dehors de toute prescription médicale) se sont poursuivies malgré la prévision de l'expertise. Sur la base de ces éléments, l'expertise retient que le recourant présente une dépendance à l'égard de l'alcool et des benzodiazépines et qu'il n'offre pas en l'état les garanties suffisantes qu'il saura à l'avenir éviter de conduire sous l'influence de l'éthanol et/ou des benzodiazépines, et conclut à l'inaptitude du recourant à la conduite des véhicules automobiles du premier groupe pour un motif toxicologique (dépendance à l'égard de l'éthanol et des benzodiazépines). cc) Comme on l'a vu ci-avant, l'autorité qui a mis en œuvre une expertise est liée par l'avis de l'expert et ne peut s'en écarter que si elle a de sérieux motifs de le faire. En l'espèce, le SAN a estimé que le dossier ne contenait aucun élément permettant de se distancer du rapport de l'expert de l'UMPT. e) Le recourant, pour sa part, conteste les résultats de l'expertise en ce sens qu'il nie consommer des benzodiazépines. Il se réfère au résultat d'analyse d'une prise d'urine qu'il a effectuée le 31 août 2023, dont il ressort que le résultat était négatif concernant les benzodiazépines. Les éléments apportés par le recourant ne sont pas de nature à remettre en cause les conclusions de l'expertise réalisée par l'UMPT faisant état d'une dépendance à l'égard des benzodiazépines. On relève que la consommation de benzodiazépines par le recourant a été mise en évidence par les résultats d'analyse d'urine et de cheveux prélevés le 13 mars 2023, qui ont révélé des benzodiazépines dans l'urine (soit une prise récente de cette substance) ainsi que la présence dans les cheveux de nordiazépam et de bromazépam attestant une consommation répétée de bromazépam et de diazépam durant les deux à trois mois précédant le prélèvement. Par ailleurs, l'expert a également pris en compte le comportement de l'intéressé. Il relève ainsi que bien qu'il ait eu connaissance des enjeux de l'expertise à laquelle il devait se soumettre, il a poursuivi la consommation d'alcool et la prise de benzodiazépines, ce qui peut indiquer un désir irrésistible et refléter des difficultés au contrôle de ses consommations. Pour l'expert, ces trois éléments constituent des critères de dépendance selon la définition de la CIM-10. Ainsi, le seul résultat de l'analyse d'urine du 31 août 2023 produit par le recourant, soit près de six mois après le prélèvement du 13 mars 2023 effectué dans le cadre de l'expertise, s'il est certes négatif aux benzodiazépines, n'est pas suffisant pour renverser les conclusions de l'expert selon lesquelles le recourant présente une dépendance à l'égard de cette substance. f) On relève que le recourant ne conteste pas les conclusions de l'expertise selon lesquelles il présente également une dépendance à l'égard de l'alcool. À juste titre puisque, comme on l'a relevé ci-dessus, les analyses des échantillons de sang et d'un segment de ses cheveux prélevés le 13 mars 2023 ont montré une valeur de PEth dans le sang de 870 microgrammes/litre et une valeur d'EtG dans les cheveux de 84 pg/mg, et que le recourant remplit également à ce titre trois critères de dépendance selon la définition de la CIM-10 (cf. consid. 3d/bb ci-dessus). Le recourant fait par contre valoir que plusieurs inexactitudes figurent dans le rapport d'expertise, la première étant qu'il n'est pas venu seul à l'entretien, une personne l'y ayant conduit, la seconde étant qu'il est Suisse alors que le rapport d'expertise indique son origine serbe. De fait, il n'est pas certain que l'on soit en présence d'inexactitudes, notamment en ce  qui concerne son origine (à distinguer de la nationalité) Serbe. Quoi qu'il en soit, à l'instar de l'autorité intimée, il convient de relever que ces éventuelles inexactitudes ne permettent de toute manière pas de remettre en cause le rapport d'expertise. g) Ainsi, au vu des conclusions de l'expertise et des considérations qui précèdent, c'est à juste titre que l'autorité intimée a considéré qu'à la période où l'expertise a été réalisée, le recourant présentait une dépendance à l'égard de l'alcool et des benzodiazépines le rendant inapte à la conduite au sens de l'art. 16d al. 1 let. b LCR. h) S'agissant du grief de violation du droit d'être entendu soulevé par le recourant, au motif que l'autorité intimée n'a pas accédé à sa demande d'une contre-expertise, on relève ce qui suit. Le droit d'être entendu, tel qu'il est garanti par l'art. 29 al. 2 de la Constitution fédérale de la Confédération suisse du 18 avril 1999 (Cst.;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L’autorité peut toutefois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En l'occurrence, au vu des conclusions claires de l'expertise de l'UMPT, c'est à juste titre que l'autorité intimée a considéré que la mise en oeuvre d'une nouvelle expertise ne se justifiait pas. Le grief de violation du droit d'être entendu à ce titre doit par conséquent être rejeté.</w:t>
      </w:r>
    </w:p>
    <w:p>
      <w:r>
        <w:rPr>
          <w:b/>
        </w:rPr>
        <w:t>E. 3</w:t>
      </w:r>
    </w:p>
    <w:p>
      <w:r>
        <w:t>Il convient encore d'examiner si les conditions auxquelles est soumise la restitution du droit de conduire respectent le principe de proportionnalité, ce que le recourant conteste. a) L’art. 17 al. 3 LCR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de diminuer le risque de récidive pour quelque temps encore après la réadmission à la conduite. L'autorité administrative dispose sur la question de la durée de l'abstinence contrôlée d'un important pouvoir d'appréciation. En référence à la doctrine médicale, la jurisprudence a admis qu'une guérison durable d'une dépendance à l'alcool requérait une thérapie et des contrôles durant quatre à cinq ans après la restitution du permis de conduire ainsi qu'une abstinence totale médicalement contrôlée durant trois ans au moins même si des délais plus courts sont usuels (TF 1C_152/2019 du 26 juin 2019 consid.</w:t>
      </w:r>
    </w:p>
    <w:p>
      <w:r>
        <w:rPr>
          <w:b/>
        </w:rPr>
        <w:t>E. 3.1</w:t>
      </w:r>
    </w:p>
    <w:p>
      <w:r>
        <w:t>et les références citées). b) Exprimé de manière générale à l'art. 5 al. 2 Cst., le respect de la proportionnalité dans l'activité administrative exige que la mesure prise par l'autorité soit raisonnable et nécessaire pour atteindre le but d'intérêt public ou privé poursuivi (ATF 136 I 87 consid. 3.2 p. 91). En outre, le principe de la proportionnalité ‑ tel qu'il découle de l'art. 36 al. 3 Cst. ‑ exige qu'une mesure restrictive soit apte à produire les résultats escomptés (règle de l'aptitude) et que ceux-ci ne puissent être atteints par une mesure moins incisive (règle de la nécessité); enfin, il interdit toute limitation allant au-delà du but visé et exige un rapport raisonnable entre celui-ci et les intérêts publics ou privés compromis (principe de la proportionnalité au sens étroit, impliquant une pesée des intérêts; ATF 136 IV 97 consid. 5.2.2 p. 104 et arrêt TF 1C_152/2019 précité consid. 3.2). c) En l'espèce, les conditions posées au recourant par le SAN consistent en: une abstinence de toute consommation d'éthanol vérifiée par des analyses toxicologiques (recherche et dosage du PEth), qui devront être effectuées sur des prélèvements sanguins à fréquence mensuelle pendant six mois précédant - immédiatement - la demande de restitution du droit de conduire, étant précisé que suite à la restitution du droit de conduire, l'abstinence à l'égard de l'éthanol et les analyses ne devront pas être interrompues jusqu'à nouvelle décision du SAN; un suivi auprès de l'USE pendant une durée identique à l'abstinence (six mois), avec des entretiens qui devront sensibiliser le recourant aux effets et méfaits de l'éthanol et lui permettre d'élaborer des stratégies permettant d'éviter de conduire sous l'influence de l'éthanol dans le futur; une abstinence stricte et complète à l'égard des benzodiazépines, vérifiée par des analyses toxicologiques qui devront être effectuées sur des prélèvements de cheveux à fréquence trimestrielle pendant six mois précédant – immédiatement - la demande de restitution du droit de conduire, étant précisé que suite à la restitution du droit de conduire, l'abstinence à l'égard des benzodiazépines et les analyses ne devront pas être interrompues jusqu'à nouvelle décision du SAN; un suivi addictologique auprès du CAP pendant une durée identique à l'abstinence (six mois), avec des entretiens qui devront sensibiliser le recourant aux effets et méfaits des benzodiazépines (non médicalement prescrits) et lui permettre d'élaborer des stratégies permettant d'éviter toute conduite sous l'influence de médicaments psychotropes non médicalement prescrits à l'avenir; la présentation de conclusions favorables d'une expertise médicale de contrôle auprès d'un médecin de niveau 4 spécialiste en médecine du trafic SSML, qui visera à établir si le recourant a effectué le suivi requis, s'il peut être remis au bénéfice du droit de conduire les véhicules à moteur, et à quelles conditions, étant précisé que cette expertise ne pourra être effectuée que lorsque le SAN aura constaté, par écrit, que les conditions préalablement posées à la restitution du droit de conduire sont remplies. d) Conformément à la jurisprudence rappelée ci-avant, l'autorité intimée dispose d'un important pouvoir d'appréciation dans la fixation des conditions posées à la restitution du droit de conduire. Dans le cas d'espèce, les conditions fixées par le SAN ne sont autres que celles proposées par les experts et ne sont, à teneur des écritures déposées dans la présente procédure, pas expressément contestées par le recourant, qui se borne à faire valoir qu'elles seraient disproportionnées. En tout état, on constate que ces conditions - qui servent la sécurité routière - apparaissent proportionnées et adéquates. On relève en particulier que l'observation de l'abstinence de consommation d'alcool et de benzodiazépines est le seul moyen de démontrer que l'intéressé est parvenu à surmonter durablement son inaptitude en ayant cessé toute consommation d'alcool et toute prise de benzodiazépines sur une longue période, étant précisé que la période de six mois - dont il est ici question - n'apparaît pas excessive au vu de la situation particulière du recourant. Pour ce qui est de la condition des suivis exigés auprès de l'USE et auprès du CAP pendant une durée identique à l'abstinence, visant à sensibiliser le recourant aux effets et méfaits de, respectivement, l'éthanol et les benzodiazépines et lui permettre d'élaborer des stratégies permettant d'éviter de conduire sous l'influence de ces substances dans le futur, il s'agit là, manifestement, de mesures adéquates. Enfin, la présentation de conclusions favorables d'une expertise médicale de contrôle auprès d'un médecin de niveau 4 spécialiste en médecine du trafic SSML, qui visera à établir si le recourant a effectué le suivi requis, s'il peut être remis au bénéfice du droit de conduire les véhicules à moteur, et à quelles conditions, constitue une exigence adaptée pour s'assurer, au moment de la demande de restitution, de l'aptitude du recourant à la conduite automobile. Dans ces circonstances, les conditions posées par l'autorité intimée pour la restitution du droit de conduire du recourant respectent le principe de la proportionnalité et peuvent être confirmées. Quant au grief du recourant selon lequel dès lors que l'autorité intimée a mis plus d'une année pour rendre sa décision sur réclamation, la mesure en deviendrait disproportionnée, on relève qu'il est vrai qu'en rendant sa décision sur réclamation le 17 janvier 2025, soit dix-sept mois après sa décision du 24 août 2023, l'autorité intimée a trop tardé. Ce retard ne rend toutefois pas pour autant la mesure disproportionnée. En effet, le recourant (dont le permis est saisi depuis le 15 octobre 2021) était informé depuis la décision du 24 août 2023 des conditions qu'il devait remplir pour se voir restituer son permis de conduire et pouvait, s'il le souhaitait, s'y soumettre.</w:t>
      </w:r>
    </w:p>
    <w:p>
      <w:r>
        <w:rPr>
          <w:b/>
        </w:rPr>
        <w:t>E. 4</w:t>
      </w:r>
    </w:p>
    <w:p>
      <w:r>
        <w:t>Il résulte des considérants qui précèdent que le recours doit être rejeté, de même que la conclusion subsidiaire du recourant demandant qu'il soit constaté qu'il remplissait sur une durée de six mois au moins les conditions lui permettant de demander la restitution de son droit de conduire, et la décision attaquée confirmée.</w:t>
      </w:r>
    </w:p>
    <w:p>
      <w:r>
        <w:rPr>
          <w:b/>
        </w:rPr>
        <w:t>E. 5</w:t>
      </w:r>
    </w:p>
    <w:p>
      <w:r>
        <w:t>Le recourant, qui succombe, supportera les frais de justice. Vu l'issue de la cause, il n'est pas alloué de dépens (art. 49,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