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CR.2024.0059 vom 28. Februar 2025</w:t>
      </w:r>
    </w:p>
    <w:p>
      <w:r>
        <w:t>VD Tribunal cantonal, 2025-02-28, FR</w:t>
      </w:r>
    </w:p>
    <w:p>
      <w:r>
        <w:rPr>
          <w:b/>
        </w:rPr>
        <w:t xml:space="preserve">Quelle: </w:t>
      </w:r>
      <w:r>
        <w:t>https://mcp.opencaselaw.ch/entscheid/vd_omni_CR.2024.0059</w:t>
      </w:r>
    </w:p>
    <w:p>
      <w:r>
        <w:t>FR: VD_OMNI CR.2024.0059 du 28 février 2025</w:t>
      </w:r>
    </w:p>
    <w:p>
      <w:r>
        <w:t>IT: VD_OMNI CR.2024.0059 del 28 febbraio 2025</w:t>
      </w:r>
    </w:p>
    <w:p>
      <w:pPr>
        <w:pStyle w:val="Heading2"/>
      </w:pPr>
      <w:r>
        <w:t>Regeste</w:t>
      </w:r>
    </w:p>
    <w:p>
      <w:r>
        <w:t>A.________/Service des automobiles et de la navigation | Automobiliste, qui a quitté les lieux après avoir heurté du mobilier urbain sans avertir la police et qui a consommé ensuite de l'alcool à domicile, empêchant ainsi tout contrôle de son état physique au moment de l'accident. Rappel de la jurisprudence selon laquelle les faits établis par le juge pénal lient en principe l'autorité administrative. Retrait de trois mois correspondant au minimum prévu par l'art. 16c al. 1 let. d LCR en cas de dérobade à un alcootest confirmé.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a) La LCR distingue les infractions légères, moyennement graves et graves (art. 16a - c LCR). Aux termes de l'art. 16c al. 1 let. d LCR,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commet une infraction grave. Selon la jurisprudence, il y a, de manière générale, lieu de s'attendre à un contrôle de l'alcoolémie à l'alcootest en cas d'accident, sous réserve que celui-ci soit indubitablement imputable à une cause totalement indépendante du conducteur (ATF 142 IV 234 consid. 1.1.2 et 1.1.3; ég. TF 6B_975/2023 du 29 novembre 2023 consid. 3.1). Après une infraction grave, le permis de conduire est retiré pour trois mois au minimum (cf. art. 16c al. 2 let. a LCR), seuil en-dessous duquel il est impossible d'aller même en présence de circonstances particulières (cf. art. 16 al. 3 LCR). b) En l'espèce, le recourant conteste s'être rendu coupable de l'infraction prévue par l'art. 16c al. 1 let. d LCR, sur lequel l'autorité intimée s'est fondée pour prononcer la mesure de retrait litigieuse. aa) Selon la jurisprudence, l'autorité administrative statuant sur un retrait du permis de conduire est en principe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ég. TF 1C_486/2023 du 16 avril 2024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ég. TF 1C_486/2023 précité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ég. TF 1C_486/2023 précité consid. 2.1). bb) Dans le cas particulier, le recourant n'a pas contesté l'ordonnance pénale du Ministère public de l'arrondissement du nord vaudois du 29 février 2024, le condamnant notamment pour entrave aux mesures de constatation de l'incapacité de conduire au sens de l'art. 91a al. 1 LCR, qui est le pendant sur le plan pénal de l'art. 16c al. 1 let. d LCR. Il savait pourtant à ce moment-là qu'il s'exposait également à une mesure de retrait de permis. L'autorité intimée l'en avait expressément avisé le 13 décembre 2023, lorsqu'elle lui a restitué le droit de conduire. Elle l'avait même rendu attentif au fait que, pour prononcer sa décision, elle retiendrait l'état de fait établi par l'autorité pénale et qu'il lui appartenait de faire valoir tous ses arguments directement auprès de cette autorité. Le recourant ne peut dès lors plus dans le cadre de la présente procédure remettre en cause les constatations de fait de l'ordonnance pénale du 29 février 2024. C'est ainsi en vain qu'il semble désormais soutenir qu'il n'aurait bu de l'alcool que de retour à son domicile. Il convient par ailleurs de rappeler que c'est lui-même qui a déclaré lors de son audition par la police le jour des faits qu'il avait consommé trois verres de vin avant l'accident. Le recourant ne conteste pour le reste pas s'être rendu compte d'avoir heurté du mobilier urbain au cours d'une manoeuvre d'évitement et d'avoir ainsi commis un accident. Comme il l'a encore répété dans ses écritures, il s'est du reste arrêté juste après pour constater les dégâts. Si la police avait été avertie comme elle aurait dû l'être (cf. art. 55 al. 3 LCR), il est hautement vraisemblable qu'elle aurait investigué sur la capacité de conduire de l'intéressé (cf., pour un cas similaire, TF 1C_486/2023 du 16 avril 2024 consid. 3), ce à quoi ce dernier pouvait et devait s'attendre (cf. jurisprudence rappelée ci-dessus). En quittant les lieux sans s'annoncer et en consommant de l'alcool à domicile, le recourant a donc bien empêché tout contrôle de son état physique au moment de l'accident (cf. ATF 142 IV 234 consid. 1.1.1). C'est au regard de ces éléments à juste titre que l'autorité intimée a retenu, à l'instar de l'autorité pénale, que le recourant s'était dérobé à un alcootest et qu'elle a fait application de l'art. 16c al. 1 let. d LCR. Quant à la durée du retrait prononcé, elle ne peut qu'être confirmée, dans la mesure où elle correspond au minimum légal.</w:t>
      </w:r>
    </w:p>
    <w:p>
      <w:r>
        <w:rPr>
          <w:b/>
        </w:rPr>
        <w:t>E. 3</w:t>
      </w:r>
    </w:p>
    <w:p>
      <w:r>
        <w:t>Les considérants qui précèdent conduisent au rejet du recours et à la confirmation de la décision attaquée. Le recourant, qui succombe, supportera les frais de justice (cf.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