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CR.2024.0024 vom 3. Juni 2025</w:t>
      </w:r>
    </w:p>
    <w:p>
      <w:r>
        <w:t>VD Tribunal cantonal, 2025-06-03, FR</w:t>
      </w:r>
    </w:p>
    <w:p>
      <w:r>
        <w:rPr>
          <w:b/>
        </w:rPr>
        <w:t xml:space="preserve">Quelle: </w:t>
      </w:r>
      <w:r>
        <w:t>https://mcp.opencaselaw.ch/entscheid/vd_omni_CR.2024.0024</w:t>
      </w:r>
    </w:p>
    <w:p>
      <w:r>
        <w:t>FR: VD_OMNI CR.2024.0024 du 3 juin 2025</w:t>
      </w:r>
    </w:p>
    <w:p>
      <w:r>
        <w:t>IT: VD_OMNI CR.2024.0024 del 3 giugno 2025</w:t>
      </w:r>
    </w:p>
    <w:p>
      <w:pPr>
        <w:pStyle w:val="Heading2"/>
      </w:pPr>
      <w:r>
        <w:t>Regeste</w:t>
      </w:r>
    </w:p>
    <w:p>
      <w:r>
        <w:t>A.________/Service des automobiles et de la navigation | Confirmation de la décision sur réclamation du SAN, prononçant l'annulation du permis de conduire à l'essai du recourant, au motif que ce dernier s'est rendu coupable, durant la période probatoire, d'une seconde infraction entraînant un retrait de son permis. Le SAN a qualifié à juste titre de moyennement grave l'infraction consistant à suivre le véhicule précédant à une distance de 21.8 mètres à une allure de 104 km/h (intervalle de 0.8 seconde). Recours rejeté.</w:t>
      </w:r>
    </w:p>
    <w:p>
      <w:pPr>
        <w:pStyle w:val="Heading2"/>
      </w:pPr>
      <w:r>
        <w:t>Erwägungen</w:t>
      </w:r>
    </w:p>
    <w:p>
      <w:r>
        <w:rPr>
          <w:b/>
        </w:rPr>
        <w:t>E. 1</w:t>
      </w:r>
    </w:p>
    <w:p>
      <w:r>
        <w:t>Dirigé contre une décision sur réclamation rendue par le SAN, laquelle n'est pas susceptible de recours devant une autre autorité, émanant du destinataire de la décision attaquée et déposé dans le délai légal et dans les formes requises, le recours est recevable (art. 75, 79, 92 al. 1, 95 et 99 de la loi vaudoise du 28 octobre 2008 sur la procédure administrative [LPA-VD; BLV 173.36]). Il y a donc lieu d'entrer en matière sur le fond.</w:t>
      </w:r>
    </w:p>
    <w:p>
      <w:r>
        <w:rPr>
          <w:b/>
        </w:rPr>
        <w:t>E. 2</w:t>
      </w:r>
    </w:p>
    <w:p>
      <w:r>
        <w:t>Le litige porte sur l'annulation du permis de conduire à l'essai du recourant confirmée par l'autorité intimée au motif que l'intéressé s'est rendu coupable, durant la période probatoire, d'une seconde infraction entraînant un retrait de ce permis.</w:t>
      </w:r>
    </w:p>
    <w:p>
      <w:r>
        <w:rPr>
          <w:b/>
        </w:rPr>
        <w:t>E. 3</w:t>
      </w:r>
    </w:p>
    <w:p>
      <w:r>
        <w:t>Le grief du recourant relatif à la suspension de la procédure administrative jusqu'à droit connu sur la procédure pénale n'a plus d'objet, dès lors que cette suspension a été prononcée par décision du 20 juin 2024 de la juge instructrice et que l'ordonnance pénale du 3 avril 2023 est désormais définitive et exécutoire.</w:t>
      </w:r>
    </w:p>
    <w:p>
      <w:r>
        <w:rPr>
          <w:b/>
        </w:rPr>
        <w:t>E. 4</w:t>
      </w:r>
    </w:p>
    <w:p>
      <w:r>
        <w:t>Le recourant soutient que l'infraction de non-respect de la distance de sécurité en circulation en file n'aurait pas dû être retenue à son encontre. Il conteste en outre la qualification d'infraction moyennement grave et requiert sa requalification en violation particulièrement légère des règles de la circulation, si tant est qu'une faute puisse lui être imputée. a) La règle fondamentale de l'art. 26 LCR dispose que chacun doit se comporter, dans la circulation, de manière à ne pas gêner ni mettre en danger ceux qui utilisent la route conformément aux règles établies. L'art. 32 al. 1 1 ère phr. LCR prévoit que la vitesse doit toujours être adaptée aux circonstances, notamment aux particularités du véhicule et du chargement, ainsi qu’aux conditions de la route, de la circulation et de la visibilité. Le conducteur ne doit pas circuler à une vitesse qui l’empêcherait de s’arrêter sur la distance à laquelle porte sa visibilité; lorsque le croisement est malaisé, il doit pouvoir s’arrêter sur la moitié de cette distance (art. 4 OCR ). De plus, d’après l'art. 34 al. 4 LCR, le conducteur observera une distance suffisante envers tous les usagers de la route, notamment pour croiser, dépasser et circuler de front ou lorsque des véhicules se suivent. Cette disposition est complétée par l'art. 12 al. 1 OCR, selon lequel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 demi-compteur " (correspondant à un intervalle de 1.8 seconde) sont des standards minimaux habituellement reconnus (ATF 131 IV 133 consid. 3.1; 104 IV 192 consid. 2b; TF 1C_474/2020 du 19 avril 2021 consid. 3.1; 1C_590/2015 du 10 août 2016 consid. 3.2; 1C_544/2013 du 17 septembre 2013 consid. 2.2). Pour que soit réalisée l'infraction de la distance insuffisante (talonnement), le conducteur fautif doit avoir talonné le véhicule le précédant sur une distance suffisamment longue, de plusieurs centaines de mètres au moins, de manière à exclure la simple inattention momentanée du conducteur et de démontrer qu'il a délibérément enfreint une règle élémentaire de prudence qui doit s'imposer à tout automobiliste. De manière générale, selon la jurisprudence fédérale et cantonale, une distance de 500 mètres paraît nécessaire, sous réserve de cas très particuliers (cf. les arrêts mentionnés infra let. c); cf. aussi un cas particulier dans lequel les faits incriminés avaient été constatés sur une distance de 84.6 mètres, au moyen toutefois d’un appareil de surveillance du trafic, CDAP CR.2021.0011 du 5 octobre 2021 let. B des faits et consid. 4b). b) La loi sur la circulation routière fait la distinction entre les cas de peu de gravité, les cas de gravité moyenne et les cas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La réalisation d'une infraction légère, moyenne ou grave dépend de la mise en danger du trafic induite et de la faute (cf. Cédric Mizel, Les nouvelles dispositions légales sur le retrait du permis de conduire, in RDAF 2004 I 361, p.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parmi d’autres arrêts TF 1C_91/2021 du 27 juillet 2021 consid. 3.1; 1C_436/2019 du 30 septembre 2019 consid. 2.1; 1C_144/2018 du 10 décembre 2018 consid. 2.1; 1C_766/2013 du 1 er mai 2014 consid. 3.1). Sur le plan subjectif, une faute moyennement grave au sens de l' art. 16b al. 1 let. a LCR correspond, lorsqu'aucune circonstance particulière n'exige une prudence très élevée (TF 1C_135/2022 du 24 août 2022 consid. 2.1; 1C_525/2012 du 24 octobre 2013 consid. 2.4), à une absence de prise en considération des risques d'accident, alors que ceux-ci étaient reconnaissables pour un conducteur moyen normalement prudent ( ATF 126 II 192 consid. 2b) et vouant toute son attention à la chaussée au sens de l'art. 3 al. 1 OCR (TF 1C_135/2022 précité consid. 2.1; cf. Jeanneret/Kuhn/Mizel/Riske, Code suisse de la circulation routière commenté, 5 e édition 2024, no 1.4 ad art. 16b LCR ). Quant à la faute légère, elle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pas suffisamment du fait d'une mauvaise appréciation compréhensible du point de vue d'un conducteur moyen. En dernière analyse, la faute légère représente souvent un comportement qui, sans être totalement excusable, bénéficie des circonstances atténuantes, voire relève d'une certaine malchance (cf. Mizel, Les nouvelles dispositions légales sur le retrait du permis de conduire, in RDAF 2004 I 361, p. 387; cf. Jeanneret/Kuhn/Mizel/Riske, op. cit., no 1.4 ad art. 16a LCR ). c) En ce qui concerne spécifiquement le respect de l'intervalle de sécurité, le Tribunal fédéral et le Tribunal cantonal disposent d'une abondante jurisprudence pour distinguer les infractions relevant du cas grave de celles relevant de la gravité moyenne. D'une manière générale, le Tribunal fédéral a retenu qu'un cas peut être grave lorsque l'intervalle entre les véhicules est inférieur à 0.8, voire 0.6 seconde (ATF 131 IV 133 consid. 3.2.2 p. 137).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TF 1C_356/2009 du 12 février 2010; 1C_7/2010 du 11 mai 2010; 1C_274/210 du 7 octobre 2010), lorsqu’il a suivi la voiture précédente sur 1'200 mètres à une vitesse de 110 km/h et à une distance oscillant entre 5 et 10 mètres (0.32 seconde [TF 1C_502/2011 du 6 mars 2012]), lorsqu'il a circulé à une vitesse de 125 km/h, à nouveau sur 1'200 mètres, à une distance de 15 mètres du véhicule qui le précédait (0.4 seconde [TF 1C_446/2011 du 15 mars 2012]), lorsqu'il a suivi à une vitesse de 112 km/h sur environ 500 mètres à une distance de 14.58 mètres (0.4 seconde [TF 1C_554/2013 du 17 septembre 2013] ou encore lorsqu’il a suivi le véhicule qui le précédait sur plus de 400 mètres, sur la voie de gauche, à une vitesse d'environ 100 km/h en n'observant qu'une distance d'environ 10 mètres, soit un intervalle correspondant à 0.36 seconde (TF 1C_474/2020 précité consid. 3.2). En revanche, la faute a été qualifiée de moyennement grave au sens de l'art. 16b LCR lorsqu'un conducteur a suivi, à une vitesse de 100 km/h, une voiture à une distance entre 20 et 25 mètres (0.9 seconde [TF 1C_424/2012 du 15 janvier 2013]) et lorsque l'écart entre les véhicules était de 26 mètres pour une vitesse de 124 km/h (0.8 seconde [TF 1C_183/2013 du 21 juin 2013]). La CDAP a considéré que le fait de suivre à une allure d'au moins 90 km/h un véhicule sur l'autoroute à une distance comprise entre 3 et 10 mètres, sur une distance de 800 mètres, devait être qualifié d'infraction grave (CR.2018.0056 du 13 mars 2019). Il en va de même lorsqu'un véhicule suit sur l'autoroute sur environ 500 mètres le véhicule qui le précédait à une distance de quelque 10 mètres et à une vitesse d'environ 120 km/h (intervalle de 0.3 seconde, CR.2017.0045 du 30 janvier 2018). Une distance de 10 mètres à 100 km/h, sur la voie de gauche de l’autoroute sur une distance d’environ 400 mètres constitue une violation grave des règles de la circulation routière (CR.2017.0014 du 14 juillet 2017). Commet en revanche une infraction moyennement grave l'automobiliste qui circule quelque 18 mètres derrière le véhicule qui le précède sur l'autoroute à une vitesse de 110 km/h (soit un intervalle de 0.6 seconde, CR.2021.0011 précité), ainsi que celui qui a laissé 20 mètres d'espace entre son véhicule et celui qui le précède en roulant à 90 km/h (soit un intervalle de 0.8 seconde, CR.2023.0006 du 28 juillet 2023). Commet une infraction à tout le moins moyennement grave l'automobiliste qui circule environ 10 mètres derrière le véhicule qui le précède à une vitesse de 120 km/h sur environ 500 mètres (soit un intervalle de 0.28 seconde, CR.2017.0029 du 7 novembre 2017, confirmé par TF 1C_707//2017 du 18 janvier 2018, le Tribunal se demandant même dans cette affaire s'il n'aurait pas fallu qualifier le cas de grave). d) En l'espèce, le recourant explique que, le jour des faits, le trafic était dense sur les deux voies de l'autoroute. Il ajoute que les véhicules sur la voie de gauche se rabattaient trop rapidement après leur dépassement tandis que les véhicules sur la voie de droite se déplaçaient soudainement sur la voie de dépassement. Il relate qu'alors qu'il circulait correctement sur la voie de gauche, en respectant les distances de sécurité, un véhicule circulant sur la voie de droite aurait surgi devant lui et qu'il aurait alors immédiatement ralenti afin de rétablir une distance suffisante avec celui-ci. Il relève que le rapport de dénonciation du 6 mars 2023 n'indique pas la distance sur laquelle les faits ont été constatés. Il se prévaut enfin des deux photographies comprises dans ce rapport, prises à un intervalle de 3 secondes, lesquelles démontreraient qu'il avait immédiatement réduit sa vitesse afin de rétablir une distance de sécurité suffisante avec le véhicule qui le précédait dès lors que son véhicule apparaîtrait nettement plus éloigné sur la seconde photographie. aa) A titre préliminaire, il y a lieu de rappeler que les faits retenus dans la procédure pénale lient en principe les autorités administratives (ATF 139 II 95 consid. 3.2). La Cour tient donc pour établis les faits qui figurent dans le rapport de dénonciation du 6 mars 2023, à savoir que le recourant a circulé à une vitesse de 104 km/h, suivant le véhicule qui le précédait à une distance de 21.8 mètres avec un intervalle de 0.8 seconde, étant précisé que ces données ont été établies au moyen d'un appareil de surveillance du trafic. A cela s'ajoute que, par ordonnance pénale du 3 avril 2023, le recourant a été condamné pour ces faits à une amende au sens de l'art. 90 al. 1 LCR, soit pour violation simple des règles de la circulation routière. Cette ordonnance, contre laquelle le recourant a formé opposition, est entrée en force et impute au recourant de ne pas avoir maintenu une distance suffisante avec le véhicule qui le précédait (0.8 seconde). bb) Le temps de parcours de 0.8 seconde entre les deux véhicules correspond à moins de la moitié du seuil minimal de sécurité fixé à 1.8 seconde. A une vitesse de 104 km/h, la distance calculée de 21.8 mètres crée un danger pour la sécurité d'autrui dès lors qu'elle n'est pas suffisante pour garantir l'absence de collision avec l'arrière du véhicule précédent en cas de brusque changement des circonstances. Cela vaut en particulier si un freinage d'urgence s'impose. Le fait que, selon les explications du recourant, le véhicule venant de la voie de droite ait surgi devant lui ne change rien à ce constat. En effet, les photographies comprises dans le rapport de dénonciation du 6 mars 2023 ne permettent pas de corroborer cette version. Ces images permettent en revanche d'établir que le trafic était dense, comme l'allègue le recourant, de sorte que l'on devait attendre de ce dernier une vigilance particulière. On ne saurait ainsi retenir un enchaînement de circonstances malheureuses ou une légère inattention du recourant. Au contraire, les conditions de trafic appelaient une attention accrue du recourant, lequel aurait ainsi dû voir le véhicule se trouvant sur la voie de droite se déplacer sur la voie de dépassement et adapter sa vitesse avant qu'il ne se place devant lui. Conformément à la jurisprudence fédérale et cantonale en la matière, l'écart calculé entre les deux véhicules correspond donc à une faute pouvant être qualifiée de moyennement grave. En outre, il importe peu que la distance sur laquelle les faits incriminés se sont déroulés ne ressorte pas du dossier. La jurisprudence exposée ci-dessus porte certes sur des affaires dans lesquelles une distance insuffisante entre deux véhicules a été constatée par la police sur plusieurs centaines de mètres. Un rapprochement dans la durée ne constitue toutefois pas un critère nécessaire pour qu'une infraction à l'art. 34 al. 4 LCR soit réalisée, la question à se poser étant de savoir si le conducteur mis en cause aurait été en mesure d'éviter une collision en cas de freinage inopiné du conducteur qui précède (CR.2021.0011 précité consid. 4b), ce qui n'est pas le cas en l'espèce. Dans ces conditions, l'autorité intimée était fondée à retenir que le recourant n'a pas respecté la distance de sécurité en circulation en file (art. 34 al. 4 LCR) et à qualifier cette infraction de moyennement grave selon l'art. 16 b al. 1 let. a LCR. Partant, le grief est rejeté.</w:t>
      </w:r>
    </w:p>
    <w:p>
      <w:r>
        <w:rPr>
          <w:b/>
        </w:rPr>
        <w:t>E. 5</w:t>
      </w:r>
    </w:p>
    <w:p>
      <w:r>
        <w:t>Il convient ensuite de déterminer la quotité de la sanction à prononcer compte tenu de ce qui précède. a) En vertu de l'art. 15a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Le permis de conduire à l'essai a été introduit avec la révision de la LCR entrée en vigueur le 1 er décembre 2005. Il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et les références; ég. TF 1C_226/2012 du 28 août 2012 consid. 2.2). En particulier, l'art. 15a al. 4 LCR pose une présomption irréfragable d'inaptitude à la conduite en cas de seconde infraction entraînant un retrait pendant la période probatoire (TF 1C_526/2016 du 21 décembre 2016 consid. 7.1; TF 1C_97/2016 du 2 juin 2016 consid. 2.2.2; TF 1C_67/2014 du 9 février 2015 consid. 4.1 et les références; cf. ég. Jeanneret/Kuhn/Mizel/Riske, op. cit., no 5.3 ad art. 15a LCR , et Cédric Mizel, Droit et pratique illustrée du retrait du permis de conduire, Berne 2015, § 83.2.3, où est évoquée à cet égard une " mesure de sécurité pour cause d'inaptitude irréfragablement présumée "). Dans ce cas, le permis de conduire à l'essai est annulé en vertu de l'art. 35a al. 1 de l'ordonnance du 27 octobre 1976 réglant l'admission des personnes et des véhicules à la circulation routière; OAC; RS 741.51). Le permis de conduire à l'essai poursuit une fonction éducative et son but est notamment de diminuer les accidents en sanctionnant de manière plus sévère ceux qui compromettent la sécurité routière (ATF 136 II 447 consid. 5.1 et 5.3). c) En l'espèce, le recourant soutient que les circonstances des faits reprochés n'ont pas été prises en considération par l'autorité intimée, à savoir en particulier l'atteinte à la sécurité routière, la gravité de la faute et la nécessité professionnelle de conduire un véhicule automobile au sens de l'art. 16 al. 3 LCR. Il expose avoir immédiatement réagi et adapté sa vitesse afin de rétablir une distance suffisante lorsque le véhicule qui le précédait aurait surgi devant lui depuis la voie de droite. Il considère ainsi ne pas avoir commis de faute et qu'aucune mise en danger concrète n'a eu lieu. Il invoque ensuite un besoin professionnel impérieux de disposer de son permis de conduire pour son activité professionnelle dans un garage et pour son activité au sein de l'armée. En l'occurrence, l'infraction en cause qui, comme démontré ci-dessus, est de gravité moyenne, est intervenue après un retrait de permis prononcé à l'encontre du recourant pour une première infraction de gravité moyenne, avec prolongation de la période probatoire. Elle devrait par conséquent entraîner un nouveau retrait (art. 16b al. 2 LCR). Or, au moment de l'infraction commise le 23 novembre 2022, le recourant se trouvait encore dans la période probatoire de son permis provisoire. En pareil cas, l'art. 15a al. 4 LCR, qui pose une présomption irréfragable d'inaptitude à la conduite en cas de seconde infraction entraînant un retrait pendant la période probatoire, prévoit l'annulation du permis de conduire à l'essai, en ne laissant aucune marge de manœuvre à l'autorité d'application. C'est en vain par ailleurs que le recourant cherche à minimiser la gravité de sa faute et de la mise en danger créée, en se référant aux circonstances qui prévalaient au moment de l'infraction qui lui est reprochée. Comme le Tribunal fédéral a déjà eu l'occasion de le relever, l'annulation du permis à l'essai ne dépend en effet pas de la gravité de l'infraction commise, mais de la présence d'une première infraction ayant entraîné le retrait du permis (et la prolongation de la période d'essai) et d'une seconde infraction qui conduit elle aussi à un retrait (cf. ATF 136 II 447 consid. 5.3; ég. TF 1C_226/2012 précité consid. 2.3). Le besoin allégué du permis de conduire pour des raisons professionnelles et pour l'armée n'est pas pris en compte dans le cadre de l'application de l'art. 15a al. 4 LCR. Dans ces conditions, l'annulation du permis de conduire à l'essai du recourant ne peut qu'être confirmée.</w:t>
      </w:r>
    </w:p>
    <w:p>
      <w:r>
        <w:rPr>
          <w:b/>
        </w:rPr>
        <w:t>E. 6</w:t>
      </w:r>
    </w:p>
    <w:p>
      <w:r>
        <w:t>a) Les considérants qui précèdent conduisent au rejet du recours et à la confirmation de la décision attaquée. b) Les frais de justice devraient en principe être supportés par le recourant qui succombe (art. 49 al. 1 LPA-VD). Dès lors qu'il a été dispensé de l'avance de frais et mis au bénéfice de l'assistance judiciaire, ces frais, arrêtés à 800 fr., seront provisoirement laissés à la charge de l'Etat (art. 122 al. 1 let. b du code de procédure civile du 19 décembre 2008 [CPC; RS 272], applicable par renvoi de l'art. 18 al. 5 LPA-VD). Il n'y a pas lieu d'allouer des dépens (art. 55, 91 et 99 LPA-VD). c) Il convient encore de statuer sur l'indemnité due à l'avocate d'office du recourant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Il peut préalablement produire une liste détaillée de ses opérations (art. 3 al. 1 RAJ). Les débours sont fixés forfaitairement, sauf circonstances exceptionnelles, à 5% de la participation aux honoraires (hors taxe) (art. 11 al. 3 TFJDA; art. 3bis al. 1 RAJ). En l'occurrence, Me Fontana a produit deux listes des opérations qui font état de 9h45 consacrées par ses soins à la défense des intérêts de son client. Ces heures doivent être considérées comme admissibles, compte tenu de l'importance de la cause et de ses difficultés (cf. art. 2 al. 1 RAJ). Me Fontana a en outre requis le paiement de ses débours, qu'elle a fixé forfaitairement à 5% de ses honoraires, TVA en sus. Son indemnité peut ainsi être arrêtée à 1'755 fr., à quoi s'ajoutent les débours par 87 fr. 75 ainsi que la TVA de 8.1% calculée sur ces montants, soit 149 fr. 30. Le montant total de l'indemnité d'office allouée s'élève dès lors à 1'992 fr. 05. L'indemnité de conseil d'office est provisoirement supportée par le canton, le recourant étant rendu attentif au fait qu'il est tenu de rembourser le montant ainsi avancé dès qu'il sera en mesure de le faire (art. 122 al. 1 let. a et 123 al. 1 CPC,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