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CR.2024.0021 vom 18. Juni 2024</w:t>
      </w:r>
    </w:p>
    <w:p>
      <w:r>
        <w:t>VD Tribunal cantonal, 2024-06-18, FR</w:t>
      </w:r>
    </w:p>
    <w:p>
      <w:r>
        <w:rPr>
          <w:b/>
        </w:rPr>
        <w:t xml:space="preserve">Quelle: </w:t>
      </w:r>
      <w:r>
        <w:t>https://mcp.opencaselaw.ch/entscheid/vd_omni_CR.2024.0021</w:t>
      </w:r>
    </w:p>
    <w:p>
      <w:r>
        <w:t>FR: VD_OMNI CR.2024.0021 du 18 juin 2024</w:t>
      </w:r>
    </w:p>
    <w:p>
      <w:r>
        <w:t>IT: VD_OMNI CR.2024.0021 del 18 giugno 2024</w:t>
      </w:r>
    </w:p>
    <w:p>
      <w:pPr>
        <w:pStyle w:val="Heading2"/>
      </w:pPr>
      <w:r>
        <w:t>Regeste</w:t>
      </w:r>
    </w:p>
    <w:p>
      <w:r>
        <w:t>A.________/Service des automobiles et de la navigation | Recours contre un retrait de permis de conduire de sécurité. Toxicomanie. Des analyses postérieures à la première décision peuvent être prises en compte pour rendre la décision sur réclamation. Application de l'art. 17 al. 5 LCR. Le cas d'espèce ne présente pas des particularités qui justifieraient de s'écarter de la jurisprudence du Tribunal fédéral, en vertu de laquelle le non-respect – même infime – des conditions posées à la restitution du droit de conduire entraîne une révocation de ce droit (c.3a). Mesure des EtG (120 pg/mg) dans l'analyse capillaire réalisée par erreur et consommation d'alcool découverte fortuitement par l'autorité. Il y a lieu d'en tenir compte (c.3b/aa et bb). Une seule analyse capillaire ne suffit pas pour considérer la dépendance comme avérée, mais - vu les circonstances - elle n'est pas non plus exclue, ce qui justifie la réalisation d'une expertise médicale (c.3b/cc). Décision conforme au principe de proportionnalité, notamment car ne fixe pas de délai d'attente au recourant (c.3c). Rejet du recours.</w:t>
      </w:r>
    </w:p>
    <w:p>
      <w:pPr>
        <w:pStyle w:val="Heading2"/>
      </w:pPr>
      <w:r>
        <w:t>Erwägungen</w:t>
      </w:r>
    </w:p>
    <w:p>
      <w:r>
        <w:rPr>
          <w:b/>
        </w:rPr>
        <w:t>E. 1</w:t>
      </w:r>
    </w:p>
    <w:p>
      <w:r>
        <w:t>Déposé en temps utile contre une décision sur réclamation du SAN, qui n'est pas susceptible de recours devant une autre autorité et satisfaisant pour le surplus aux exigences formelles prévues par la loi, le recours est recevable si bien qu'il y a lieu d'entrer en matière sur le fond (art. 21 al. 2 de la loi du 25 novembre 1974 sur la circulation routière [LVCR; BLV 741.01]; art. 92, 95 et 79, applicable par renvoi de l'art. 99, de la loi du 28 octobre 2008 sur la procédure administrative [LPA-VD; BLV 173.36]).</w:t>
      </w:r>
    </w:p>
    <w:p>
      <w:r>
        <w:rPr>
          <w:b/>
        </w:rPr>
        <w:t>E. 2</w:t>
      </w:r>
    </w:p>
    <w:p>
      <w:r>
        <w:t>Est litigieuse la question de savoir si c'est à bon droit que l'autorité intimée a prononcé un retrait de sécurité du permis de conduire du recourant, sur la base non seulement de l'art. 16d LCR, mais aussi de l'art. 17 al. 5 LCR. a) L'art. 14 LCR dispose que tout conducteur de véhicule automobile doit posséder l'aptitude et les qualifications nécessaires à la conduite (al. 1); l'aptitude à la conduite suppose notamment que l'intéressé ait les aptitudes physiques et psychiques requises pour conduire un véhicule automobile en toute sécurité (al. 2 let. b), et que ses antécédents attestent qu'il respecte les règles en vigueur ainsi que les autres usagers de la route (al. 2 let. d). Selon l'art. 16 al. 1, 1 ère phrase, LCR, les permis et les autorisations seront retirés lorsque l'autorité constate que les conditions légales de leur délivrance ne sont pas ou plus remplies. L'art. 16d LCR régit le retrait du permis de conduire pour cause d'inaptitude à la conduite. A teneur du premier alinéa de cette disposition, qui met en œuvre les principes posés aux art. 14 al. 2 et 16 al. 1 LCR, le permis d'élève conducteur ou le permis de conduire est retiré pour une durée indéterminée à la personne dont les aptitudes physiques et psychiques ne lui permettent pas ou plus de conduire avec sûreté un véhicule automobile (let. a), à la personne qui souffre d'une forme de dépendance la rendant inapte à la conduite (let. b), ou encore à la personne qui, en raison de son comportement antérieur, ne peut garantir qu'à l'avenir elle observera les prescriptions et fera preuve d'égards envers autrui en conduisant un véhicule automobile (let. c). b) S'agissant de la notion de dépendance au sens de l'art. 16d al. 1 let. b LCR, singulièrement de la notion de dépendance à l'alcool, il résulte de la jurisprudence que son existence est admise si la personne concernée consomme régulièrement des quantités exagérées d'alcool, de nature à diminuer sa capacité à conduire des véhicules automobiles, et se révèle incapable de se libérer ou de contrôler cette habitude par sa propre volonté. La dépendance doit être telle que l'intéressé présente plus que tout autre automobiliste le risque de se mettre au volant dans un état ne lui permettant plus d'assurer la sécurité de la circulation. La notion de dépendance au sens de l'art. 16d al. 1 let. b LCR (cf. ég. art. 14 al. 2 let. c LCR) ne recoupe donc pas la notion médicale de dépendance; la notion juridique permet déjà d'écarter du trafic les personnes qui, par une consommation abusive d'alcool, se mettent concrètement en danger de devenir dépendantes au sens médical (ATF 129 II 82 consid. 4.1; TF 1C_243/2007 du 6 novembre 2007 consid. 2.1 et les références; CDAP CR.2021.0037 du 27 janvier 2022 consid. 2a; CR.2020.0015 du 9 septembre 2020 consid. 3b/bb). A lui seul, l'abus de boissons alcooliques ne suffit pas à justifier un retrait du permis de conduire. Il faut en outre que l'autorité soit objectivement fondée à redouter, chez le conducteur en cause, un manque de contrôle ou de discipline ou une altération des facultés propres à engendrer une menace pour la circulation routière (CDAP CR.2021.0037 du 27 janvier 2022 consid. 2a; CR.2020.0035 du 5 novembre 2020 consid. 3a). Dans son Message concernant la modification de la loi fédérale sur la circulation routière du 31 mars 1999, le Conseil fédéral a relevé que la consommation d'alcool pouvait justifier un retrait du permis de conduire pour inaptitude même en l'absence de dépendance au sens de l'art. 16d al. 1 let. b LCR (FF 1999 4106, p. 4136 ad art. 16d LCR). Il a retenu qu'il y avait lieu dans ce cadre de déterminer, par une expertise psychologique, si le permis de conduire devait être retiré à la personne concernée en se fondant sur l'art. 16d al. 1 let. a LCR (la personne n'étant pas en mesure, pour des motifs psychiques, de choisir entre boire et conduire) ou l'art. 16d al. 1 let. c LCR (la personne ne voulant pas choisir entre boire et conduire, en raison par exemple d'un défaut de caractère). c) Le retrait de sécurité pour cause d'alcoolisme (ou d'autres causes de toxicomanie) constitue une atteinte importante à la personnalité du conducteur. L'autorité compétente doit, avant d'ordonner un tel retrait, éclaircir d'office la situation de la personne concernée. Si elle met en œuvre une expertise, l'autorité est liée par l'avis de l'expert et ne peut s'en écarter que si elle a de sérieux motifs de le faire (cf. ATF 142 IV 49 consid. 2.1.3; également ATF 140 II 334 consid. 3, arrêt de principe). En particulier, pour admettre la valeur probante de l'expertise, il faut que les points litigieux aient fait l'objet d'une étude circonstanciée, que le rapport se fonde sur des examens complets, qu'il ait été établi en pleine connaissance de l'anamnèse, que la description du contexte médical et l'appréciation de la situation médicale soient claires et enfin que les conclusions de l'expert soient dûment motivées (ATF 134 V 231 consid. 5.1; 125 V 351 consid. 3a). d) aa) L'art. 17 al. 3 LCR prévoit que le permis d'élève conducteur ou le permis de conduire retiré pour une durée indéterminée peut être restitué à certaines conditions après expiration d'un éventuel délai d'attente légal ou prescrit si la personne concernée peut prouver que son inaptitude à la conduite a disparu. Selon l'art. 17 al. 5 LCR, si la personne concernée n'observe pas les conditions imposées ou trompe d'une autre manière la confiance mise en elle, même de façon infime (cf. ATF 140 II 334 consid. 2, arrêt de principe), le permis lui est retiré à nouveau. Le Tribunal fédéral a précisé qu'en pareille hypothèse, il n'est pas nécessaire de procéder à de nouvelles investigations quant à l'aptitude à la conduite de l'intéressé (TF 1C_147/2018 du 5 octobre 2018 consid. 6.1; 1C_492/2015 du 12 octobre 2015 consid. 4; 1C_523/2011 du 5 mars 2012 consid. 2.3; CDAP CR.2023.0018 du 15 août 2023 consid. 4a; CR.2021.0041 du 26 avril 2022 consid. 2a/bb; CR.2021.0009 du 16 septembre 2021 consid. 2a). bb) Selon certains auteurs (cf. Jeanneret/Kuhn/Mizel/Riske, CS/CR commenté, 5 e éd., Bâle 2024, note 6.2.1 ad art. 17 al. 5 LCR, p. 443 ss), cette jurisprudence est excessivement sévère. Ils estiment que les conditions posées lors de la restitution du permis de conduire constituent ou s'apparentent à des charges, dont l'inexécution n'a pas, d'un point de vue juridique, d'incidence nécessaire et immédiate sur les effets de la décision, n'entraînant donc pas en soi la caducité de l'acte administratif, laquelle n'est qu'une possibilité. Ils considèrent ainsi que le non-respect des conditions imposées au sens de l'art. 17 al. 5 LCR n'est pas déjà réalisé à la moindre rechute, mais uniquement s'il s'agit d'un écart significatif et blâmable. Par exemple, une rechute très tôt confessée et prise en charge par le médecin traitant ne justifierait pas nécessairement un retrait. Dans un arrêt CR.2021.0037 du 27 janvier 2022, le Tribunal de céans a renoncé à la révocation prévue par l'art. 17 al. 5 LCR, en tenant compte des circonstances du cas d'espèce. Il s'agissait d'un conducteur qui s'était soumis avec succès à un suivi de six mois, ainsi qu'à des prises capillaires lui permettant de récupérer son droit de conduire, mais qui, durant la période de probation de 18 mois de suivi complémentaire, avait effectué un test capillaire positif lors du dernier rendez-vous, puis un nouveau test positif dans les six mois de probation supplémentaire ordonnée (tests ayant révélé une consommation modérée d'alcool, soit 12 et 19.5 pg/mg EtG). Le Tribunal a considéré que le retrait automatique n'était pas conforme au principe de proportionnalité. Il a réformé la décision en ce sens que le droit de conduire était restitué, mais assorti d'une période de probation de quatre mois impliquant une abstinence totale attestée par des tests capillaires tous les deux mois et un suivi socio-éducatif. e) Dans l'hypothèse de l'application de l'art. 17 al. 5 LCR, il revient à l'autorité de décider de la durée d'un tel retrait et, s'il y a lieu, des preuves à fournir pour démontrer l'aptitude à conduire de la personne en cause. Ces conditions ont une importance déterminante pour l'intéressé et impliquent souvent une atteinte à sa liberté personnelle selon l'art. 10 al. 2 de la Constitution fédérale suisse du 18 avril 1999 (Cst.; RS 101). Cette atteinte n'est admissible que si elle est proportionnée au but visé, conformément à l'art. 36 Cst. (TF 1C_342/2009 du 23 mars 2010 consid. 2.2). Le principe de proportionnalité, en tous les cas sous l'angle de la règle de proportionnalité au sens étroit, implique de mettre en balance la gravité des effets de la mesure choisie sur la situation de l'administré et le résultat escompté du point de vue de l'intérêt public (ATF 130 I 65 consid. 3.5.1; 128 II 292 consid. 5.1 et les arrêts cités).</w:t>
      </w:r>
    </w:p>
    <w:p>
      <w:r>
        <w:rPr>
          <w:b/>
        </w:rPr>
        <w:t>E. 3</w:t>
      </w:r>
    </w:p>
    <w:p>
      <w:r>
        <w:t>a) En l'espèce, il convient de relever en premier lieu que c'est à tort que le recourant fonde toute son argumentation sur la question de l'examen de son aptitude à la conduite. En effet, le retrait de son permis de conduire n'a pas été prononcé par l'autorité intimée en vertu de l'art. 16d al. 1 LCR seulement, mais également et surtout de l'art. 17 al. 5 LCR. Selon l'art. 17 al. 5 LCR, si la personne concernée n'observe pas les conditions imposées ou trompe d'une autre manière la confiance mise en elle, le permis lui est retiré à nouveau. Or le recourant ne conteste pas avoir consommé de la cocaïne, tel que cela ressort des analyses de la mèche de cheveux prélevée le 23 novembre 2023, ne respectant ainsi pas les conditions posées par la décision du 12 mai 2022 au maintien de son droit de conduire, qui préconisait, sur la base d'une expertise médicale, une abstinence " de consommation de tous produits stupéfiants " jusqu'au mois de mai 2024 au moins. Bien que postérieures à la première décision, les analyses du 23 novembre 2023 ont été à juste titre prises en compte au moment de rendre la décision sur réclamation. La réclamation est en effet un moyen de droit interne qui permet à l'autorité qui a pris la décision litigieuse de la réexaminer sous tous ses aspects avec un plein pouvoir d'examen (en fait, en droit et en opportunité), en complétant le dossier, au besoin, par des mesures d'instruction complémentaires (cf. art. 63 LPA-VD, par renvoi de l'art. 70 LPA-VD; voir aussi Valérie Defago Gaudin, L'opposition et le recours hiérarchique , in : Le contentieux administratif, Genève 2013, p. 179 ss, p. 190). Les faits déterminants sont établis dans leur état au jour où l'autorité statue (cf. CDAP PE.2008.0517 du 3 juin 2009 consid. 3b et les références citées), soit en l'occurrence le 15 mars 2024. On a vu qu'en cas d'application de l'art. 17 al. 5 LCR, il n'est pas nécessaire de procéder à de nouvelles investigations quant à l'aptitude à la conduite de l'intéressé et que le permis est retiré de manière quasiment automatique. Il importe dès lors peu dans ce cadre qu'il s'agisse, peut-être, en l'espèce d'un incident unique. Ce dernier ne saurait être minimisé, d'autant plus qu'il est survenu dans le cadre d'une procédure de retrait de permis (portée au plus tard à la connaissance du recourant le 21 septembre 2023, alors que les analyses ayant révélé la présence de cocaïne datent du 23 novembre 2023) . En outre, il ne ressort pas du dossier que le recourant, en dépit de son long parcours d'addiction, ait réagi rapidement à cette rechute en prenant contact avec son thérapeute pour mettre en place une prise en charge adaptée. Au vu de ces éléments, il faut considérer que le cas d'espèce ne présente pas des particularités telles qu'il se justifierait de s'écarter de la jurisprudence stricte du Tribunal fédéral, en vertu de laquelle le non-respect – même infime – des conditions posées à la restitution du droit de conduire entraîne une révocation de ce droit. La présente affaire se distingue du cas jugé dans l'arrêt précité CR.2021.0037 du 27 janvier 2022 par le fait que, dans ledit cas, les tests avaient révélé une consommation modérée d'alcool (12 et 19.5 pg/mg EtG) et que la question d'une dépendance – à l'alcool – ne se posait pas (cf. le considérant suivant à ce sujet). Enfin, les analyses du 2 mai 2023 ont démontré la présence de codéine dans les cheveux du recourant. Celui-ci a expliqué cet élément par le fait qu'il prenait du co-dafalgan. Il n'a toutefois pas précisé pour quelle raison ce médicament lui était prescrit. Ce n'est au surplus pas son addictologue qui le lui a prescrit mais le Dr D.________, qui se présente comme " Spécialiste TPF, ORL Allergologie et immunologie clinique, médecin praticien ". Il n'est ainsi pas prouvé que la consommation de codéine par le recourant n'est pas intervenue à titre récréatif. Par ailleurs, il n'apparaît pas clairement que les remarques très générales de l'addictologue du 25 septembre 2023 (indiquant qu'il lui semblait que " les différents prélèvements capillaires effectués depuis le 8.11.22 à votre demande sont compatibles avec la prise d'un traitement agoniste opioïde que je lui prescrit (actuellement il prend du Sevre-long cp 10 mg/j) depuis au moins 2 ans ") engloberaient également la codéine. La question de la consommation de codéine n'a toutefois pas à être tranchée définitivement dès lors que la consommation de cocaïne par le recourant suffit à justifier l'application de l'art. 17 al. 5 LCR et le retrait de son permis. b) aa) Pour ce qui concerne la problématique de la dépendance à l'alcool, le recourant relève tout d'abord qu'il n'est pas soumis à une obligation d'abstinence à l'alcool. Il est vrai que la mesure des EtG dans l'analyse capillaire du 2 mai 2023 a été réalisée par erreur et que cet élément a ainsi été découvert fortuitement par l'autorité. Il y a néanmoins lieu d'en tenir compte. On peut mentionner à cet égard, à titre de comparaison, que, en matière pénale, selon la doctrine et la jurisprudence, l'exploitation des découvertes fortuites est possible, à condition non seulement que la mesure de contrainte originaire qui a conduit à ces découvertes ait été valablement ordonnée, mais aussi que les autorités pénales aient pu ordonner cette mesure si elles avaient eu, dès le départ, le soupçon concret de la commission de cette autre infraction (cf. ATF 139 IV 128 consid. 2.1, traduit in JdT 2014 IV 15; arrêt TF 6B_630/2017 du 16 février 2018 consid. 2.1 et les références citées). En outre, le recourant ne conteste pas avoir reçu les recommandations de l'UMPT à l'égard de la modération nécessaire de la consommation d'alcool lors de la réalisation de l'expertise du 11 mai 2022. Ainsi, même s'il n'était pas soumis à une obligation d'abstinence d'alcool, il ne pouvait pas ignorer la modération dont il convient de manière générale de faire preuve dans le cadre de la consommation d'alcool. bb) Sur le plan médical, les analyses toxicologiques effectuées (segment proximal de 3 cm d'une mèche de cheveux prélevée le 2 mai 2023) ont révélé une concentration d'EtG de 120 pg/mg. Le Tribunal fédéral admet l'analyse de cheveux aussi bien pour prouver une consommation exagérée d'alcool que pour prouver le respect d'une abstinence. L'analyse de cheveux se fonde sur la mesure de l'éthylglucuronide (EtG), marqueur de la consommation d'alcool. La concentration en EtG peut être corrélée avec la consommation d'alcool régulière, une consommation unique ou isolée donnant un résultat négatif. L'analyse capillaire établit la consommation moyenne d'alcool sur une période de deux à trois mois précédant le prélèvement de cheveux (cf. CR.2017.0043 du 22 janvier 2018 consid. 3, alors que tel n'est par exemple pas le cas de la CDT [ Carbohydrate Deficient Transferrin ] qui sert à prouver un abus d'alcool, plus précisément une consommation de plus de soixante grammes pur par jour sur les quatorze derniers jours environ). Une valeur jusqu'à 2 pg/mg EtG correspond à une abstinence totale d'alcool, une valeur de 2 à 7 pg/mg EtG peut indiquer aussi bien une abstinence qu'une consommation modérée, alors qu'une valeur supérieure à 7 pg/mg EtG exclut l'abstinence et confirme une consommation modérée, et qu'une valeur supérieure à 30 pg/mg EtG atteste d'une consommation exagérée d'alcool ( high-risk-drinking ) (ATF 140 II 334 consid. 3 et 7; TF 1C_523/2011 du 5 mars 2012 consid. 2.4; 1C_150/2010 du 25 novembre 2010 consid. 5; sur le plan cantonal, cf. le récent arrêt CR.2022.0028 du 17 février 2023 consid. 3d/b, dans lequel le Tribunal a retenu que le résultat de 36 pg/mg EtG témoignait d'une consommation d'éthanol excessive dans les deux mois ayant précédé le prélèvement). cc) En l'espèce, le recourant reproche à l'autorité intimée de ne pas avoir procédé à une instruction précise des circonstances déterminantes et d'avoir posé un pronostic défavorable au sujet de sa consommation d'alcool alors qu'il n'a aucun antécédent avec cette substance. L'autorité aurait à son avis dû procéder à des investigations plus poussées (telles qu'une expertise médicale) avant de retenir que les conditions de l'art. 16d al. 1 let. b LCR étaient remplies. Ne le faisant pas, elle aurait violé les conditions d'application de cette disposition. Il est vrai qu'une seule analyse capillaire, sans expertise médicale, ne suffit pas encore pour considérer d'emblée que les conditions de l'art. 16d al. 1 let. b LCR sont remplies. Dans ces circonstances, l'autorité intimée ne pouvait pas prononcer de retrait de sécurité du permis de conduire du recourant sur la base de l'art. 16d al. 1 let. b LCR. Cet élément est toutefois sans incidence pratique puisque, on l'a vu ci-dessus, le retrait du droit de conduire se justifie sur la base de l'art. 17 al. 5 LCR. Cela étant, il faut tenir compte, d'une part, du fait que ce prélèvement – même unique – donne des indications sur la consommation moyenne des trois derniers mois environ et, d'autre part, que le taux d'EtG démontre une consommation manifestement exagérée d'alcool selon les critères admis par la jurisprudence (120 pg/mg EtG, alors que la consommation est considérée comme exagérée à partir de 30 pg/mg EtG). L'affirmation du recourant selon laquelle ce prélèvement aurait été effectué à son retour de vacances, alors qu'il aurait profité de faire la fête lors d'une croisière (du 15 au 22 avril 2023), apparaît ainsi sujette à caution face à " un tel résultat pathologique ", comme le qualifie à juste titre l'autorité intimée. De plus, au vu de ce résultat, les rapports positifs de la Dre B.________ relatifs à la consommation d'alcool du recourant sont remis en question. Plus largement, cet élément pose la question de la gestion de ses addictions par le recourant. Si la dépendance ne peut pas être considérée comme avérée, elle n'est pas non plus exclue, ce qui justifie la réalisation d'une expertise médicale. c) La décision est conforme au principe de proportionnalité. On relève en particulier sur ce plan que l'autorité intimée n'a pas fixé une durée minimale de retrait avant que le recourant ne puisse requérir la mise en oeuvre d'une expertise pour démontrer son aptitude à conduire. Même si les conséquences peuvent être lourdes pour lui, le besoin professionnel que le recourant invoque ne permet pas de renoncer à la mesure prononcée à son encontre. Le fait qu’il n’ait pas commis d'infraction routière en tant que conducteur ces dernières années ne permet pas non plus de parvenir à une conclusion différente.</w:t>
      </w:r>
    </w:p>
    <w:p>
      <w:r>
        <w:rPr>
          <w:b/>
        </w:rPr>
        <w:t>E. 4</w:t>
      </w:r>
    </w:p>
    <w:p>
      <w:r>
        <w:t>Il résulte des considérant qui précèdent que le recours doit être rejeté et la décision attaquée confirmée. Dès lors qu'il est statué sur le fond du litige, la requête du recourant tendant à la restitution de l'effet suspensif au recours n'a plus d'objet. Les frais sont mis à la charge du recourant, qui succombe.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