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CR.2024.0020 vom 7. Juni 2024</w:t>
      </w:r>
    </w:p>
    <w:p>
      <w:r>
        <w:t>VD Tribunal cantonal, 2024-06-07, FR</w:t>
      </w:r>
    </w:p>
    <w:p>
      <w:r>
        <w:rPr>
          <w:b/>
        </w:rPr>
        <w:t xml:space="preserve">Quelle: </w:t>
      </w:r>
      <w:r>
        <w:t>https://mcp.opencaselaw.ch/entscheid/vd_omni_CR.2024.0020</w:t>
      </w:r>
    </w:p>
    <w:p>
      <w:r>
        <w:t>FR: VD_OMNI CR.2024.0020 du 7 juin 2024</w:t>
      </w:r>
    </w:p>
    <w:p>
      <w:r>
        <w:t>IT: VD_OMNI CR.2024.0020 del 7 giugno 2024</w:t>
      </w:r>
    </w:p>
    <w:p>
      <w:pPr>
        <w:pStyle w:val="Heading2"/>
      </w:pPr>
      <w:r>
        <w:t>Regeste</w:t>
      </w:r>
    </w:p>
    <w:p>
      <w:r>
        <w:t>A.________ /Service des automobiles et de la navigation | Confirmation de la décision sur réclamation du SAN, prononçant à l'encontre du recourant un retrait d'admonestation du permis de conduire pour une durée d'un mois, sur la base des faits retenus dans l'ordonnance pénale. Le recourant aurait dû soulever ses moyens de défense devant le juge pénal. L'autorité étant liée par les faits retenus par ce dernier, il ne plus désormais s'en écarter. Recours rejeté.</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recourant fait valoir que son épouse conduisait le véhicule immatriculé VD 626030 lorsque l'infraction a été commise. Il soutient que celle-ci n'aurait pas indiqué au Service des contraventions qu'elle conduisait le véhicule et aurait payé l'amende sans l'en informer car il a été victime d'un accident vasculaire cérébral. Il a produit à l'appui de ses dires une photographie du radar du 23 janvier 2023 ainsi qu'une copie du passeport de son épouse en soutenant que ces éléments seraient de nature à démontrer que celle-ci était la conductrice du véhicule lors des faits litigieux.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 En l'occurrence, il est constant que le recourant n'a pas formé opposition à l'ordonnance pénale du 28 avril 2023 qui retient qu'il était le conducteur du véhicule contrôlé en excès de vitesse le 23 janvier 2023, si bien que l'autorité administrative ne peut en principe s'écarter des faits qui y ont été établis. Le recourant soutient implicitement ne jamais avoir été informé de la procédure pénale dirigée à son encontre dont sa femme lui aurait tu l'existence. Il résulte du dossier que l'ordonnance pénale a été notifiée au recourant par pli recommandé, si bien qu'il convient de présumer qu'elle est parvenue dans sa sphère de destination. Le recourant n'allègue d'ailleurs pas ni a fortiori ne démontre que l'ordonnance pénale du 28 avril 2023 ne lui aurait pas été valablement notifiée. Si le recourant entendait contester les faits ayant donné lieu à l'ordonnance pénale du 28 avril 2023, il lui appartenait de soulever ses moyens de défense dans le cadre de la procédure pénale. C'est donc dans le cadre d'une éventuelle procédure d'opposition devant l'autorité pénale qu'il aurait dû requérir la production de la photographie du radar ou encore faire valoir d'autres moyens comme le bornage de son téléphone portable. Une fois l'ordonnance pénale entrée en force faute d'être contestée, l'autorité administrative ne peut plus s'écarter des faits retenus dans le cadre de la procédure pénale et n'a pas à examiner les moyens de preuve du recourant. En effet, en ne réagissant qu'au moment de la décision de retrait du permis de conduire, le recourant a agi contrairement aux règles de la bonne foi. L'autorité administrative a donc retenu à juste titre que c'était A.________ qui était l'auteur de l'infraction du 23 janvier 2023.</w:t>
      </w:r>
    </w:p>
    <w:p>
      <w:r>
        <w:rPr>
          <w:b/>
        </w:rPr>
        <w:t>E. 3</w:t>
      </w:r>
    </w:p>
    <w:p>
      <w:r>
        <w:t>Pour le surplus, le recourant ne conteste – à juste titre – ni la qualification de légère de l'infraction commise ni le fait que l'art. 16a al. 2 de la loi fédérale du 19 décembre 1958 sur la circulation routière (LCR; RS 741.01) (" Après une infraction légère, le permis d'élève conducteur ou le permis de conduire est retiré pour un mois au moins au conducteur qui a fait l'objet d'un retrait de permis ou d'une autre mesure administrative au cours des deux années précédentes ") lui est applicable dès lors qu'il a fait l'objet d'un retrait de permis de conduire qui s'est terminé le 9 septembre 2022. Au vu de ce qui précède, la durée du retrait du permis de conduire prononcé par l'autorité intimée correspond au minimum légal et ne peut donc qu'être confirmée.</w:t>
      </w:r>
    </w:p>
    <w:p>
      <w:r>
        <w:rPr>
          <w:b/>
        </w:rPr>
        <w:t>E. 4</w:t>
      </w:r>
    </w:p>
    <w:p>
      <w:r>
        <w:t>Mal fondé, le recours doit être rejeté et la décision attaquée confirmée, également dans la mesure où elle prévoit que la mesure s'exécutera au plus tard dès le 26 septembre 2024 jusqu'au 25 octobre 2024. Le recourant, qui succombe, supportera les frais de la procédure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