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CR.2024.0007 vom 15. April 2024</w:t>
      </w:r>
    </w:p>
    <w:p>
      <w:r>
        <w:t>VD Tribunal cantonal, 2024-04-15, FR</w:t>
      </w:r>
    </w:p>
    <w:p>
      <w:r>
        <w:rPr>
          <w:b/>
        </w:rPr>
        <w:t xml:space="preserve">Quelle: </w:t>
      </w:r>
      <w:r>
        <w:t>https://mcp.opencaselaw.ch/entscheid/vd_omni_CR.2024.0007</w:t>
      </w:r>
    </w:p>
    <w:p>
      <w:r>
        <w:t>FR: VD_OMNI CR.2024.0007 du 15 avril 2024</w:t>
      </w:r>
    </w:p>
    <w:p>
      <w:r>
        <w:t>IT: VD_OMNI CR.2024.0007 del 15 aprile 2024</w:t>
      </w:r>
    </w:p>
    <w:p>
      <w:pPr>
        <w:pStyle w:val="Heading2"/>
      </w:pPr>
      <w:r>
        <w:t>Regeste</w:t>
      </w:r>
    </w:p>
    <w:p>
      <w:r>
        <w:t>A.________/Service des automobiles et de la navigation | Recours contre un retrait de sécurité du permis de conduire (conduite sous retrait de permis et antécédents). Aucun motif de s'écarter des faits retenus dans l'ordonnance pénale. Le recours est manifestement mal fondé. Rejet selon la procédure simplifiée.</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 de sorte qu'il y a lieu d'entrer en matière sur le fond.</w:t>
      </w:r>
    </w:p>
    <w:p>
      <w:r>
        <w:rPr>
          <w:b/>
        </w:rPr>
        <w:t>E. 2</w:t>
      </w:r>
    </w:p>
    <w:p>
      <w:r>
        <w:t>Le recourant requiert l'audition de témoins ainsi que la production du dossier pénal. a) La procédure devant la CDAP est en principe écrite (art. 27 LPA-VD).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140 I 285 consid. 6.3.1; CDAP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précité; TF 2C_954/2018 du 3 décembre 2018 consid. 5; CDAP PE.2018.0208 du 29 mai 2019 consid. 3a). b) En l'espèce, les éléments au dossier sont suffisants pour permettre au tribunal de se prononcer, sans qu'il soit nécessaire de mettre en œuvre les mesures d'instructions requises. Dès lors, par appréciation anticipée des preuves et au vu des considérants qui suivent, le tribunal s'estime en mesure de statuer sur la base du dossier.</w:t>
      </w:r>
    </w:p>
    <w:p>
      <w:r>
        <w:rPr>
          <w:b/>
        </w:rPr>
        <w:t>E. 3</w:t>
      </w:r>
    </w:p>
    <w:p>
      <w:r>
        <w:t>Le recourant conteste avoir commis l'infraction pour laquelle il a été condamné par ordonnance pénale du 15 mars 2023, à savoir la conduite d'un véhicule automobile alors que le permis de conduire lui avait été retiré (cf. art 95 al.1 let. b LCR). Il reproche à l'autorité intimée de ne pas s'être écartée de dite ordonnance et d'avoir renoncé à mettre en œuvre les mesures d'instruction qu'il a requises afin de prouver qu'il avait d'ores et déjà exécuté la mesure de retrait du permis de conduire à la date à laquelle il a été contrôlé pour excès de vitesse, le 5 avril 2022. a) En matière de répression des infractions relatives à la circulation routière, le droit suisse connaît le système de la double procédure pénale et administrative: le juge pénal se prononce sur la culpabilité ainsi que sur les sanctions pénales (amende, peine pécuniaire, travail d'intérêt général ou peine privative de liberté) prévues par les dispositions pénales de la LCR, soit ses art. 90 ss, tandis que les autorités administratives compétentes décident de mesures administratives (avertissement ou retrait de permis) prévues par les art. 16 ss LCR. Une certaine coordination s'impose entre ces deux procédures. Selon la jurisprudence,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et les arrêts cités; TF 1C_105/2022 du 14 février 2023 consid. 3.3).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 129 II 312 consid. 2.4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de telles circonstances, la personne concernée ne peut pas attendre la procédure administrative pour présenter ses éventuelles requêtes et moyens de défense; au contraire, elle est tenue, selon les règles de la bonne foi, de les faire valoir lors de la procédure pénale (sommaire) et d'épuiser les moyens de recours mis à sa disposition (ATF 123 II 97 consid. 3c/aa; TF 1C_474/2020 du 19 avril 2021 consid. 2.1 et les références; 1C_654/2019 du 6 octobre 2020; TF 1C_403/2020 du 20 juillet 2020 consid. 3). b) L'art. 95 al. 1 let. b LCR punit d'une peine privative de liberté de trois ans au plus ou d'une peine pécuniaire, quiconque conduit un véhicule automobile alors que le permis d'élève conducteur ou le permis de conduire lui a été refusé, retiré ou qu'il lui a été interdit d'en faire usage. Il s'agit d'une infraction grave (cf. art. 16c al. 1 let. f LCR). En l'occurrence, par ordonnance pénale du 15 mars 2023, le recourant a été condamné à une peine de 60 jours-amende pour avoir conduit, le 5 avril 2022, alors que son permis de conduire lui avait été retiré. Si le recourant estimait avoir déjà exécuté la mesure de retrait du permis de conduire à la date du 5 avril 2022, il lui incombait de faire opposition à l'ordonnance pénale rendue le 15 mars 2023, laquelle est entièrement fondée sur le rapport de dénonciation de l'APOL du 1 er mars 2023. Conformément à la jurisprudence, si le recourant contestait ces faits, il lui appartenait de faire valoir ses moyens dans le cadre de la procédure pénale, fût-elle sommaire. C'est dans ce cadre uniquement qu'il pouvait remettre en cause les constatations figurant dans le rapport précité, notamment en requérant l'administration de moyens de preuve tels que l'audition de témoins. Ce d'autant plus que, compte tenu de ses antécédents en matière de retraits de permis de conduire, il ne pouvait ignorer que les faits pour lesquels il avait été condamné donneraient lieu à une sanction administrative, au vu de leur gravité. Dès lors qu'il n'a pas contesté l'ordonnance pénale précitée, il n'y a pas lieu de revenir sur les faits constatés dans la procédure pénale (TF 1C_312/2015  du 1 er juillet 2015 consid. 3.2). On ne saurait donc reprocher à l'autorité administrative de s'être considérée comme étant liée par l'état de fait à la base du jugement pénal. Son refus d'instruire ne viole pas le droit d'être entendu du recourant. Enfin, comme l'a relevé le Tribunal fédéral dans un arrêt 1C_403/2020 du 20 juillet 2020 consid. 3, le recourant ne saurait invoquer le fait qu'il n'est ni avocat ni homme de loi, encore moins, comme en l'espèce, qu'il aurait été mal conseillé par son précédent avocat. En tant qu'il remet en cause le fait d'avoir conduit le 5 avril 2022 alors qu'il était sous le coup d'une mesure de retrait de son permis de conduire, le recours est ainsi mal fondé.</w:t>
      </w:r>
    </w:p>
    <w:p>
      <w:r>
        <w:rPr>
          <w:b/>
        </w:rPr>
        <w:t>E. 4</w:t>
      </w:r>
    </w:p>
    <w:p>
      <w:r>
        <w:t>Le recourant, en prenant le volant, alors qu'il était sous le coup d'une mesure du retrait de son permis de conduire, a commis une infraction grave au sens de l’art. 16c al. 1 let. f LCR. L'art 16c LCR règle la durée du retrait du permis de conduire après une infraction grave. L'art. 16c al. 2 let d LCR dispose qu'après une infraction grave, le permis d'élève conducteur ou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La loi pose ainsi la présomption d'inaptitude caractérielle à la conduite après trois infractions graves. Comme la personne concernée n'est pas autorisée à apporter la preuve – contraire – de son aptitude à conduire, il s'agit d'une présomption irréfragable. Dans ces conditions, le retrait du permis de conduire fondé sur cette disposition – dont le but est d'exclure de la circulation routière le conducteur multirécidiviste considéré comme un danger public – doit être considéré comme un retrait de sécurité (ATF 139 II 95 consid. 3.4.2 et les références citées). Le système rigide de l'art. 16c al. 2 let. d LCR, qui a été voulu par le législateur pour sanctionner les conducteurs multirécidivistes ne prévoit pas de possibilité pour le juge ou l'autorité, qui sont tenus d'appliquer les lois fédérales (art. 190 al. 1 Cst.), de s'écarter des conséquences prévues lorsque les conditions d'application de cette disposition sont remplies (CR.2020.0046 du 7 janvier 2021 consid. 3 et la référence citée). En l’occurrence, le recourant a déjà été sanctionné à deux reprises pour des infractions graves les 14 août et 11 octobre 2018, de sorte qu'après l'infraction grave commise le 5 avril 2022, le retrait du permis de conduire pour une durée indéterminée, mais d’au minimum 24 mois, prononcée par l’autorité intimée est conforme à la loi. Les griefs du recourant relatifs à la violation du droit fédéral, du principe de l'interdiction de l'arbitraire et du principe de la proportionnalité, sont donc mal fondés.</w:t>
      </w:r>
    </w:p>
    <w:p>
      <w:r>
        <w:rPr>
          <w:b/>
        </w:rPr>
        <w:t>E. 5</w:t>
      </w:r>
    </w:p>
    <w:p>
      <w:r>
        <w:t>Les considérants qui précèdent conduisent au rejet du recours et à la confirmation de la décision attaquée. Le présent arrêt doit être rendu selon la procédure simplifiée de l'art. 82 LPA-VD, sans qu'il y ait lieu de compléter l'instruction. La cause étant ainsi liquidée, la requête de restitution de l’effet suspensif est sans objet. Le recourant, qui succombe, supportera les frais de justice (cf. art. 49 al. 1 LPA-VD; art. 4 du tarif du 28 avril 2015 des frais judiciaires et des dépens en matière administrative [TFJDA; BLV 173.36.5.1]). Il n'a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