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CR.2023.0030 vom 15. Februar 2024</w:t>
      </w:r>
    </w:p>
    <w:p>
      <w:r>
        <w:t>VD Tribunal cantonal, 2024-02-15, FR</w:t>
      </w:r>
    </w:p>
    <w:p>
      <w:r>
        <w:rPr>
          <w:b/>
        </w:rPr>
        <w:t xml:space="preserve">Quelle: </w:t>
      </w:r>
      <w:r>
        <w:t>https://mcp.opencaselaw.ch/entscheid/vd_omni_CR.2023.0030</w:t>
      </w:r>
    </w:p>
    <w:p>
      <w:r>
        <w:t>FR: VD_OMNI CR.2023.0030 du 15 février 2024</w:t>
      </w:r>
    </w:p>
    <w:p>
      <w:r>
        <w:t>IT: VD_OMNI CR.2023.0030 del 15 febbraio 2024</w:t>
      </w:r>
    </w:p>
    <w:p>
      <w:pPr>
        <w:pStyle w:val="Heading2"/>
      </w:pPr>
      <w:r>
        <w:t>Regeste</w:t>
      </w:r>
    </w:p>
    <w:p>
      <w:r>
        <w:t>A.________/Service des automobiles et de la navigation | Recours contre une mesure de retrait du permis de circulation et de plaques pour cause de cessation d’assurance du véhicule. Le recourant fait valoir qu'il n’a pas reçu les rappels de l’assurance et a ainsi été empêché sans sa faute de régler ses factures de primes. De jurisprudence constante, le détenteur du véhicule ne peut pas opposer au SAN d’éventuelles déficiences de communication entre lui-même et son assurance. Emolument confirmé et rejet du recours.</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vaudoise du 28 octobre 2008 sur la procédure administrative [LPA-VD; BLV 173.36]; CDAP CR.2021.0023 du 7 octobre 2021 consid. 1). Interjeté en temps utile, le recours satisfait par ailleurs aux autres conditions formelles de recevabilité (art. 79, 92, 95 et 99 LPA-VD). Il y a ainsi lieu d'entrer en matière sur le fond.</w:t>
      </w:r>
    </w:p>
    <w:p>
      <w:r>
        <w:rPr>
          <w:b/>
        </w:rPr>
        <w:t>E. 2</w:t>
      </w:r>
    </w:p>
    <w:p>
      <w:r>
        <w:t>Une nouvelle attestation d'assurance ayant été produite devant l'autorité intimée, la décision de retrait du permis de circulation et des plaques de contrôle a perdu son objet, le véhicule concerné étant à nouveau autorisé à circuler.</w:t>
      </w:r>
    </w:p>
    <w:p>
      <w:r>
        <w:rPr>
          <w:b/>
        </w:rPr>
        <w:t>E. 3</w:t>
      </w:r>
    </w:p>
    <w:p>
      <w:r>
        <w:t>Le litige ne porte dès lors plus que sur l'émolument de 200 fr. mis à la charge du recourant au ch. 5 de la décision attaquée.</w:t>
      </w:r>
    </w:p>
    <w:p>
      <w:r>
        <w:rPr>
          <w:b/>
        </w:rPr>
        <w:t>E. 4</w:t>
      </w:r>
    </w:p>
    <w:p>
      <w:r>
        <w:t>a) aa) Selon l'art. 63 al. 1 de la loi fédérale du 19 décembre 1958 sur la circulation routière (LCR; RS 741.01), aucun véhicule automobile ne peut être mis en circulation sur la voie publique avant qu’ait été conclue une assurance-responsabilité civile. Conformément à l'art. 71 al. 1 let. a de l'ordonnance fédérale du 27 octobre 1976 réglant l'admission des personnes et des véhicules à la circulation routière (OAC; RS 741.51), le permis de circulation et les plaques seront délivrés si l'assurance-responsabilité civile prescrite a été conclue ou si le détenteur a été libéré de l'obligation de s'assurer conformément à l'art. 73 al. 1 LCR. Aux termes de l'art. 68 LCR ,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A la réception de l'avis de cessation de l'assurance donné par l'assureur, l'autorité retirera immédiatement le permis de circulation en chargeant la police de saisir le permis de circulation et les plaques (art. 68 al. 2, 2 ème phrase, LCR et 7 al. 2 de l'ordonnance fédérale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(CDAP CR.2021.0013 du 25 juin 2021 consid. 2a; CR.2021.0005 du 12 mai 2021 consid. 2b; CR.2017.0020 du 13 juillet 2017 consid. 2a). bb)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1991, n os 2777 et 2780 et les références citées). L'émolument est dû dès que l'activité administrative s'est déroulée ou que la prestation publique est requise ou a été fournie (cf.  CDAP CR.2021.0013 précité consid. 2b; CR.2018.0040 du 6 novembre 2018 consid. 3c; CR.2017.0004 du 13 juin 2017 consid. 2b; CR.2005.0423 du 29 août 2008 consid. 1b). L'art. 33 al. 1 let. a du règlement du 16 novembre 2016 sur les émoluments perçus par le SAN (RE-SAN; BLV 741.15.1) prévoit que la décision de retrait du permis de circulation et des plaques de contrôle entraîne la perception d'un émolument de 200 fr. Le Tribunal cantonal a déjà jugé que le montant de 200 fr. pour cette intervention est légitime et en particulier proportionné, les principes d'équivalence et de couverture des frais étant respectés (cf. notamment CDAP précités CR.2021.0023 consid. 2a; CR.2021.0013 consid. 2b; CR.2018.0040 consid. 3c; CR.2017.0004 consid. 2b). b) En l'espèce, à réception de l'avis de cessation de l'assurance responsabilité civile du véhicule du recourant, l'autorité intimée était contrainte de retirer immédiatement le permis de circulation et les plaques du véhicule en application des art. 68 al. 2 LCR et 7 al. 2 OAV, de sorte que l'émolument correspondant est dû pour la décision rendue, même si l'attestation d'assurance a été ensuite fournie (cf. CDAP CR.2021.0023 précité consid. 2b; CR.2011.0048 du 14 décembre 2011 consid. 3b). Le recourant explique qu'il n'a jamais reçu les factures de prime liées à son véhicule. Il estime ne pas être responsable d'une éventuelle erreur d’adressage de ses factures par son assureur et du fait que les primes n’ont pas pu être payées à temps. Or, de jurisprudence constante, le détenteur du véhicule ne peut pas opposer au SAN d'éventuelles déficiences de communication entre lui-même et son assurance (cf. notamment CDAP CR.2023.0028 du 25 août 2023, CR.2022.0004 du 21 mars 2022 consid. 2b), ni d'éventuelles défaillances de la part de son assureur, élément qui doit être réglé entre les parties au contrat d'assurance (CDAP CR.2017.0004 précité consid. 3; CR.2008.0108 du 5 août 2008 consid. 1c). Il appartenait au recourant de se renseigner auprès de son assureur au vu de l’absence de réception de sa facture de prime. S'il estime que son assureur a été défaillant, il doit régler cette question avec lui, dans le cadre de son contrat d’assurance.</w:t>
      </w:r>
    </w:p>
    <w:p>
      <w:r>
        <w:rPr>
          <w:b/>
        </w:rPr>
        <w:t>E. 5</w:t>
      </w:r>
    </w:p>
    <w:p>
      <w:r>
        <w:t>Les considérants qui précèdent conduisent au rejet du recours, manifestement mal fondé (art. 82 LPA-VD). La décision attaquée est confirmée en tant qu'elle met à la charge du recourant un émolument de 200 fr. L'émolument judiciaire doit être mis à la charge du recourant, qui succombe (art. 49 al. 1 er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