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CR.2023.0019 vom 21. November 2023</w:t>
      </w:r>
    </w:p>
    <w:p>
      <w:r>
        <w:t>VD Tribunal cantonal, 2023-11-21, FR</w:t>
      </w:r>
    </w:p>
    <w:p>
      <w:r>
        <w:rPr>
          <w:b/>
        </w:rPr>
        <w:t xml:space="preserve">Quelle: </w:t>
      </w:r>
      <w:r>
        <w:t>https://mcp.opencaselaw.ch/entscheid/vd_omni_CR.2023.0019</w:t>
      </w:r>
    </w:p>
    <w:p>
      <w:r>
        <w:t>FR: VD_OMNI CR.2023.0019 du 21 novembre 2023</w:t>
      </w:r>
    </w:p>
    <w:p>
      <w:r>
        <w:t>IT: VD_OMNI CR.2023.0019 del 21 novembre 2023</w:t>
      </w:r>
    </w:p>
    <w:p>
      <w:pPr>
        <w:pStyle w:val="Heading2"/>
      </w:pPr>
      <w:r>
        <w:t>Regeste</w:t>
      </w:r>
    </w:p>
    <w:p>
      <w:r>
        <w:t>A.________/Service des automobiles et de la navigation | Interdiction d'usage du permis de conduire étranger en Suisse. L'autorité administrative n'avait aucun motif de s'écarter des faits retenus dans l'ordonnance pénale, dont il résulte que le recourant est l’auteur de l’infraction commise. L'autorité intimée s'en est tenue au minimum légal, de sorte que la durée de l’interdiction d’usage du permis de conduire en Suisse qui a été prononcée contre le recourant est confirmée.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Le recourant ne conteste pas la réalisation de l’infraction commise le 20 septembre 2022. Il soutient toutefois qu’aux moment des faits, il n’était pas le conducteur du véhicule (immatriculé au nom de son entreprise) mais qu’il s’agissait d’une autre personne (C.________). a) En matière de répression des infractions relatives à la circulation routière, le droit suisse connaît le système de la double procédure pénale et administrative: le juge pénal se prononce sur la culpabilité ainsi que sur les sanctions pénales (amende, peine pécuniaire, travail d'intérêt général ou peine privative de liberté) prévues par les dispositions pénales de la LCR, soit ses art. 90 ss, tandis que les autorités administratives compétentes décident de mesures administratives (avertissement ou retrait de permis) prévues par les art. 16 ss LCR. Une certaine coordination s'impose entre ces deux procédures.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arrêts cités; TF 1C_105/2022 du 14 février 2023 consid. 3.3).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(ATF 123 II 97 consid. 3c/aa; TF 1C_474/2020 du 19 avril 2021 consid. 2.1 et les références; 1C_654/2019 du 6 octobre 2020; TF 1C_403/2020 du 20 juillet 2020 consid. 3). b) Le recourant a été condamné par ordonnance pénale du 19 janvier 2023 par le Ministère public du canton du Valais, pour violation grave des règles de la circulation routière en raison d’un excès de vitesse de 33 km/h, hors localité, et condamné à une peine pécuniaire de 26 jours-amende, avec sursis pendant quatre ans et à une amende. La condamnation par le biais d'une ordonnance pénale suppose que le prévenu a admis les faits ou que ceux-ci sont établis (art. 352 al. 1 du Code de procédure pénale du 5 octobre 2007 [CPP; RS 312.0]). Dans ce cadre, l'autorité pénale appelée à statuer peut toujours renoncer à ouvrir une instruction lorsqu'elle est en mesure de rendre immédiatement une ordonnance sur la base du dossier issu de l'enquête diligentée par la police (art. 309 al. 4 et 352 al. 1 CPP; cf. Laurent Moreillon/Aude Parein-Reymond, Petit commentaire du CPP, 2 e éd., 2016, n. 28 ad art. 309 CPP et n. 9 ad art. 352 CPP). En l’occurrence, le recourant a admis par le biais du formulaire transmis par la police cantonale valaisanne qu’il était bien le conducteur lors de l’infraction commise le 20 septembre 2022, et c’est donc à juste titre qu’il a été condamné par ordonnance pénale, laquelle est entrée en force et est exécutoire. Ce n’est qu’après avoir reçu la décision du SAN du 3 février 2023, prononçant une mesure d’interdiction de conduire en Suisse durant trois mois qu’il a allégué, pour la première fois, qu’il n’était pas le conducteur au moment des faits, ce qui est non seulement tardif puisqu’il lui incombait de faire valoir ces éléments dans la procédure pénale mais également peu crédible au vu des premières indications qu’il a données à la police cantonale valaisanne. Dans ces conditions et compte tenu de la jurisprudence précitée, .</w:t>
      </w:r>
    </w:p>
    <w:p>
      <w:r>
        <w:rPr>
          <w:b/>
        </w:rPr>
        <w:t>E. 3</w:t>
      </w:r>
    </w:p>
    <w:p>
      <w:r>
        <w:t>Sur le fond, le recourant ne conteste pas l’infraction commise ni la durée de la mesure prononcée par le SAN. a) La loi fédérale du 19 décembre 1958 sur la circulation routière (LCR; RS 741.01) distingue les infractions légères (art. 16a), les infractions moyennement graves (art. 16b) et les infractions graves (art. 16c). En matière d'excès de vitesse, la jurisprudence fédérale a retenu des règles précises afin d'assurer l'égalité de traitement entre les conducteurs. Ainsi, le cas est objectivement grave, c'est-à-dire sans égard aux circonstances concrètes ou encore à la bonne réputation du conducteur, lorsque la vitesse maximale autorisée est dépassée de 25 km/h ou plus en localité, de 30 km/h ou plus hors localité et sur les semi-autoroutes et de 35 km/h ou plus sur les autoroutes (ATF 143 IV 508 consid. 1.3; 132 II 234 consid. 3.1; 124 II 259 consid. 2b). b) En l’occurrence, le recourant a réalisé une infraction grave en commettant un excès de vitesse de 33 km/h, hors localité. c) Selon l'art. 16c al. 2 let. a LCR, après une infraction grave, le permis de conduire est retiré pour trois mois au minimum. En vertu de l'art. 45 al. 1 de l'ordonnance du 27 octobre 1976 réglant l'admission des personnes et des véhicules à la circulation routière (OAC; RS 741.51), l’usage d’un permis étranger peut être interdit en vertu des dispositions qui s’appliquent au retrait du permis de conduire suisse. d) L'autorité intimée s'en est ici tenue au minimum légal, de sorte que la durée de l’interdiction d’usage du permis de conduire en Suisse qui a été prononcée contre le recourant doit également être confirmée.</w:t>
      </w:r>
    </w:p>
    <w:p>
      <w:r>
        <w:rPr>
          <w:b/>
        </w:rPr>
        <w:t>E. 4</w:t>
      </w:r>
    </w:p>
    <w:p>
      <w:r>
        <w:t>Compte tenu de ce qui précède, le recours est rejeté et la décision attaquée est confirmée. Le recourant, qui succombe, supporte les frais de la cause (art. 49, 91 et 99 LPA-VD et art. 4 du tarif du 28 avril 2015 des frais judiciaires et des dépens en matière administrative: TFJDA; BLV 173.36.5.1). Pour le même motif, il n'a pas droit à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