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CR.2023.0010 vom 18. Juli 2023</w:t>
      </w:r>
    </w:p>
    <w:p>
      <w:r>
        <w:t>VD Tribunal cantonal, 2023-07-18, FR</w:t>
      </w:r>
    </w:p>
    <w:p>
      <w:r>
        <w:rPr>
          <w:b/>
        </w:rPr>
        <w:t xml:space="preserve">Quelle: </w:t>
      </w:r>
      <w:r>
        <w:t>https://mcp.opencaselaw.ch/entscheid/vd_omni_CR.2023.0010</w:t>
      </w:r>
    </w:p>
    <w:p>
      <w:r>
        <w:t>FR: VD_OMNI CR.2023.0010 du 18 juillet 2023</w:t>
      </w:r>
    </w:p>
    <w:p>
      <w:r>
        <w:t>IT: VD_OMNI CR.2023.0010 del 18 luglio 2023</w:t>
      </w:r>
    </w:p>
    <w:p>
      <w:pPr>
        <w:pStyle w:val="Heading2"/>
      </w:pPr>
      <w:r>
        <w:t>Regeste</w:t>
      </w:r>
    </w:p>
    <w:p>
      <w:r>
        <w:t>A.__________Service des automobiles et de la navigation | Confirmation du retrait du permis de conduire du recourant pour une durée d'un mois. Pas de motif de s'écarter des faits retenus par l'ordonnance pénale (consid.2). Le recourant, qui, au volant d'une voiture, a heurté une personne qui circulait en trotinnette électrique au moment où il la dépassait à faible vitesse, a commis une infraction moyennement grave (consid.3). Recours en matière de droit public rejeté par le TF(1C_470/2023 du 22 février 2024).</w:t>
      </w:r>
    </w:p>
    <w:p>
      <w:pPr>
        <w:pStyle w:val="Heading2"/>
      </w:pPr>
      <w:r>
        <w:t>Erwägungen</w:t>
      </w:r>
    </w:p>
    <w:p>
      <w:r>
        <w:rPr>
          <w:b/>
        </w:rPr>
        <w:t>E. 1</w:t>
      </w:r>
    </w:p>
    <w:p>
      <w:r>
        <w:t>La décision attaquée est une décision sur réclamation rendue par le SAN, laquelle n'est pas susceptible de recours auprès d'une autre autorité si bien que le recours au Tribunal cantonal est ouvert (art. 92 de la loi du 28 octobre 2008 sur la procédure administrative [LPA-VD; BLV 173.36]). Conformément à ce que prévoient les art. 79 al. 1 et 95 LPA-VD, le recours de droit administratif doit être signé et déposé dans le délai légal de 30 jours. En l'occurrence, l'acte de recours, sous la forme d'un mémoire écrit avec une signature manuscrite, daté du 21 février 2023, n'a été mis à la poste, à l'adresse du Tribunal cantonal, que le 20 mars 2023, soit après l'échéance du délai de recours. La mandataire du recourant avait cependant déjà adressé ce mémoire sous forme électronique le 21 février 2023 (par un message IncaMail), se fiant à une réponse donnée le 25 mars 2022 par le Secrétariat général de l'ordre judiciaire à une question qu'elle avait posée le 24 mars 2022 à propos de la possibilité de déposer des mémoires électroniques "conformément aux exigences des Codes de procédure". Comme l'a relevé le juge instructeur en accusant réception du recours le 23 mars 2023, le renseignement du 25 mars 2022 ne pouvait pas concerner une procédure ne relevant pas des "Codes de procédure" suisses (CPP et CPC), mais bien de la loi cantonale sur la procédure administrative (LPA-VD; BLV 173.36), le Tribunal cantonal n'ayant pas encore déterminé dans une norme publiée les canaux et formats de communication électronique reconnus pour les procédures de recours de droit administratif (art. 27a LPA-VD en relation avec les art. 92 ss LPA-VD). Cela étant, dans les circonstances de l'espèce, il faut considérer que le renseignement général donné le 25 mars 2022 par le Secrétariat général de l'ordre judiciaire équivaut à une indication incomplète ou inexacte relative aux voies de droit, qui ne peut entraîner aucun préjudice pour les parties. Le recours doit ainsi être considéré comme ayant été déposé dans le délai légal. Il remplit donc ainsi toutes les conditions de recevabilité de sorte qu'il convient d'entrer en matière sur le fond.</w:t>
      </w:r>
    </w:p>
    <w:p>
      <w:r>
        <w:rPr>
          <w:b/>
        </w:rPr>
        <w:t>E. 2</w:t>
      </w:r>
    </w:p>
    <w:p>
      <w:r>
        <w:t>Le recourant invoque une constatation inexacte et incomplète des faits pertinents qui aurait amené l'autorité intimée à retenir à tort qu'il aurait commis une inattention et un dépassement sans égard pour le véhicule dépassé avec accident, alors qu'elle aurait dû s'écarter de l'ordonnance pénale et du rapport de police sur lequel celle-ci est fondée, au vu des nombreuses erreurs et inexactitudes qu'il contient. a) En matière de répression des infractions relatives à la circulation routière, le droit suisse connaît le système de la double procédure pénale et administrative: le juge pénal se prononce sur la culpabilité ainsi que sur les sanctions pénales (amende, peine pécuniaire, travail d'intérêt général ou peine privative de liberté) prévues par les dispositions pénales de la LCR, soit ses art. 90 ss, tandis que les autorités administratives compétentes décident de mesures administratives (avertissement ou retrait de permis) prévues par les art. 16 ss LCR. Une certaine coordination s'impose entre ces deux procédures. Selon la jurisprudence,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(ATF 139 II 95 consid. 3.2 et les arrêts cités; TF 1C_105/2022 du 14 février 2023 consid. 3.3).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129 II 312 consid. 2.4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 TF 1C_474/2020 du 19 avril 2021 consid. 2.1 et les réf.cit.; 1C_654/2019 du 6 octobre 2020; 1C_403/2020 du 20 juillet 2020 consid. 3). b) Aux termes de l'art. 31 al. 1 LCR, le conducteur devra rester constamment maître de son véhicule de façon à pouvoir se conformer aux devoirs de la prudence. Cette disposition est complétée par l'art. 3 al. 1 de l'ordonnance du 13 novembre 1962 sur les règles de la circulation routière (OCR; RS 741.11), selon lequel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Par ailleurs, l'art. 35 al. 3 LCR dispose que celui qui dépasse doit avoir particulièrement égard aux autres usagers de la route, notamment à ceux qu'il veut dépasser. L'art. 10 al. 1 et 2 OCR précise que le conducteur qui veut dépasser, se déplacera prudemment sur la gauche sans gêner les véhicules qui suivent (…) et après le dépassement, le conducteur reviendra sur sa droite dès qu'il peut le faire sans danger pour celui qu'il vient de dépasser. c) En l'occurrence, le recourant a été condamné, par ordonnance pénale préfectorale du 19 janvier 2022, à une amende de 400 francs, pour violation simple des règles de la circulation routière (art. 90 al. 1 LCR) pour avoir, le 16 novembre 2021, circulé au volant d'un véhicule avec inattention et suite à un dépassement sans égard au véhicule dépassé, causé un accident. Le recourant n'a pas formé opposition à l'ordonnance pénale qui est entrée en force, alors que rien ne l'empêchait de faire valoir ses griefs en épuisant au besoin les voies de recours à disposition dans la procédure pénale. Le recourant fait certes valoir qu'il a renoncé à contester cette ordonnance pénale, parce qu'il était condamné pour violation simple des règles de la circulation routière et que le montant de l'amende n'était, selon lui, pas excessif, de sorte qu'il ne pouvait pas se douter qu'il risquait un retrait du permis de conduire, ce d'autant plus qu'il n'avait aucun antécédent. Il relève également que l'autre personne impliquée dans l'accident n'a pas fait valoir de prétentions civiles à son égard, ce qui était pour lui une indication supplémentaire selon laquelle les faits qui lui étaient reprochés n'étaient pas d'une gravité telle qu'il s'exposait à un retrait de son permis. Il ajoute qu'il n'a pas de connaissances juridiques particulières, qu'il n'était pas assisté d'un avocat, qu'il n'était pas conscient du fait qu'il pouvait consulter le rapport de police et qu'il ignorait que l'autorité administrative se fonderait sur ce rapport pour prononcer une mesure à son égard. Il est vrai que le recourant n'a encore jamais fait l'objet d'une mesure administrative, que ce soit un retrait de son permis de conduire ou un avertissement, et qu'il n'a été informé par le SAN, qu'après l'échéance du délai d'opposition à l'ordonnance pénale, du fait que son service envisageait une mesure à son encontre suite à l'infraction commise le 16 novembre 2021. Le recourant ne prétend toutefois pas ne pas avoir compris qu'il était condamné sur le plan pénal pour avoir circulé au volant d'un véhicule avec inattention et avoir causé un accident, suite à un dépassement sans égard au véhicule dépassé. Même si le recourant n'avait pas connaissance de la teneur du rapport de police sur lequel s'est fondé le Préfet, il n'ignorait pas les faits qui lui étaient reprochés, à savoir être responsable d'un accident en raison d'un dépassement lors duquel il n'aurait pas pris toutes les mesures de prudence nécessaires. Or, le recourant ne pouvait pas raisonnablement penser qu'il échapperait, au niveau administratif, à toute mesure, alors qu'il était condamné sur le plan pénal pour une infraction ayant entraîné un accident ayant occasionné des blessures d'une certaine gravité à une personne, cette dernière ayant dû être emmenée en ambulance à l'hôpital (cf. arrêts CDAP CR.2016.0023 du 21 novembre 2016 consid. 1b; CR.2016.0038 du 7 octobre 2016). Les faits dont le recourant entend maintenant se prévaloir dans le cadre de la procédure administrative – à savoir qu'il était attentif à la conductrice de la trottinette et qu'il n'aurait pas provoqué sa chute en la dépassant, cette dernière étant tombée contre sa voiture suite à une perte l'équilibre causée par le revêtement irrégulier de la chaussée et à son manque de concentration imputable au fait qu'elle était au téléphone – ne sont pas des faits nouveaux dont il n'aurait pas pu se prévaloir au cours de la procédure pénale. La plupart de ces éléments, à savoir que la conductrice de la trottinette serait venue percuter son véhicule suite à un écart (elle aurait dirigé son guidon sur la gauche avant le choc), que la collision se serait produite presque au milieu de la voie de circulation, et qu'elle aurait été au téléphone, ressortent d'ailleurs des déclarations du recourant figurant dans le rapport de police. Il ne s'agit ainsi pas d'éléments nouveaux qui n'auraient pas été connus du Préfet – ou qui n'auraient pas pu être communiqués à ce magistrat par le recourant – lorsqu'il a rendu son ordonnance pénale. Si le recourant pensait vraiment avoir pris toutes les précautions nécessaires lors de son dépassement et n'être pas responsable de l'accident, il lui appartenait de contester l'ordonnance pénale. Ceci dit, les explications et les photographies produites depuis lors par le recourant ne permettent pas de retenir que l'on se trouverait dans une situation dans laquelle l'on devrait, contrairement à la règle jurisprudentielle, s'écarter de l'ordonnance pénale et du rapport de police sur lequel elle est fondée. Aucun des éléments soulevés par le recourant ne permet de remettre en question les circonstances de l'accident tels qu'elles ont été décrites dans leur rapport par les agents intervenus sur le lieu de l'accident, à savoir que le recourant a heurté avec son véhicule la conductrice de la trottinette lors de son dépassement. Il est certes vrai que, comme le relève le recourant, il est difficile de comprendre pour quels motifs les agents de police se sont basés sur les déclarations de la conductrice de la trottinette plutôt que sur les siennes s'agissant de la vitesse à laquelle ils circulaient. Cet élément n'a toutefois pas d'importance dans la mesure où il n'a jamais été reproché au recourant d'avoir roulé trop vite ni retenu que l'accident serait dû à une vitesse inadaptée du recourant. Il est par ailleurs possible que le revêtement défectueux de la chaussée ait amené la conductrice de la trottinette à faire un écart sur la gauche, juste avant que le recourant ne la dépasse ou au début de sa manœuvre de dépassement, puisqu'il l'aurait vue tourner son guidon sur la gauche. Elle n'aurait toutefois pas été heurtée par le véhicule conduit par le recourant si ce dernier avait été attentif et avait pris toutes les précautions nécessaires pour la dépasser, en particulier s'il avait tenu compte du fait qu'une personne circulant sur un véhicule léger à deux roues est susceptible de se déplacer sur la gauche de la voie de circulation pour garder son équilibre (voir notamment Bussy/Rusconi/Jeanneret/Kuhn/Mizel/Müller, Code suisse de la circulation routière commenté, 4 e édition 2015, no</w:t>
      </w:r>
    </w:p>
    <w:p>
      <w:r>
        <w:rPr>
          <w:b/>
        </w:rPr>
        <w:t>E. 2.22</w:t>
      </w:r>
    </w:p>
    <w:p>
      <w:r>
        <w:t>ad. art. 35 LCR). S'agissant de la trace de sang, il est vrai que le rapport indique qu'elle se trouve au milieu de la chaussée, mais comme le relève justement le recourant, la distance par rapport au bord de la chaussée n'a pas été mesurée. Quoiqu'il en soit, ces éléments ne remettent pas en cause le déroulement de l'accident tel qu'il a été décrit par les agents de police après que ceux-ci ont notamment constaté l'état des véhicules – en particulier que le rétroviseur de la voiture était rabattu - et entendu les deux personnes impliquées dans l'accident. Les déclarations que le recourant a faites immédiatement après l'accident, selon lesquelles il aurait vu la conductrice de la trottinette s'appuyer contre sa voiture, puis chuter, ne suffisent en effet pas à douter du fait qu'elle aurait été préalablement heurtée par la voiture du recourant, vraisemblablement par son rétroviseur, ce qui l'aurait déséquilibrée, puis faite tomber. Il n'y a donc pas lieu d'examiner plus en avant les moyens du recourant en lien avec la constatation inexacte des faits pertinents. C'est à juste titre que l'autorité intimée s'est fondée sur l'état de fait retenu par l'ordonnance pénale pour rendre la décision attaquée. d) Il résulte de ce qui précède que les mesures d'instruction requises par le recourant sont rejetées, étant rappelé que le droit d'être entendu, tel que garanti en procédure administrative, ne confère pas aux parties le droit d'être entendues oralement, ni celui d 'obtenir l'audition de témoins lorsque ces moyens de preuve ne sont pas décisifs (art. 33 al. 2 LPA-VD; CR.2020.0057 du 16 juillet 2021 consid. 2d).</w:t>
      </w:r>
    </w:p>
    <w:p>
      <w:r>
        <w:rPr>
          <w:b/>
        </w:rPr>
        <w:t>E. 3</w:t>
      </w:r>
    </w:p>
    <w:p>
      <w:r>
        <w:t>Le recourant invoque également une violation de l'art. 16b LCR, en contestant avoir commis une quelconque faute lors de son dépassement. a) La loi sur la circulation routière fait la distinction entre les cas de peu de gravité, les cas de gravité moyenne et les cas graves. La qualification de l'infraction dépend du degré de la mise en danger de la sécurité d'autrui ainsi que de la gravité de la faute imputable au conducteur concerné (voir Message du Conseil fédéral du 31 mars 1999 concernant la modification de la loi fédérale de la circulation routière, FF 1999 IV p. 4131 ss; Cédric Mizel, Les nouvelles dispositions légales sur le retrait du permis de conduire, RDAF 2004 I 383 s.). Une infraction est qualifiée de légère au sens de l'art. 16a al. 1 let. a LCR, lorsque la faute est légère et la mise en danger légère; de grave au sens de l'art. 16c al. 1 let. a LCR, lorsque la faute est grave et la mise en danger grave; et de moyennement grave au sens de l'art. 16b al. 1 let. a LCR, lorsque tous les éléments constitutifs qui permettent de la privilégier comme légère ou au contraire de la qualifier de grave ne sont pas réunis.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parmi d’autres arrêts TF 1C_91/2021 du 27 juillet 2021 consid. 3.1; 1C_436/2019 du 30 septembre 2019 consid. 2.1; 1C_144/2018 du 10 décembre 2018 consid. 2.1; 1C_766/2013 du 1 er mai 2014 consid. 3.1). La mise en danger est l'élément objectif de toute conduite et de toute infraction routière donnant lieu à une mesure administrative d'admonestation. Il existe une mise en danger concrète chaque fois qu'il y a collision entre deux véhicules, hormis les chocs à très basse vitesse, par exemple sur les parkings, qui d'expérience n'occasionnent que des dommages matériels. Les collisions, même à relativement basse vitesse, engendrent presque toujours un risque de blessure pour les tiers concernés (Mizel, op. cit. , n 17 p. 370; cf. aussi arrêt CR.2015.0086 du 26 février 2016 consid. 3d). Pour qu'une infraction à la LCR soit considérée comme grave, la mise en danger doit avoir atteint le stade de "mise en danger abstraite accrue" ou de "mise en danger concrète" (cf. arrêt CR.2016.0023 du 21 novembre 2016 et la référence citée). Sur le plan subjectif, une faute légère correspond à une négligence légère. Un tel cas de figure est par exemple donné lorsque les conditions de circulation sont bonnes, n'inclinant pas un conducteur moyen – c'est 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pas suffisamment du fait d'une mauvaise appréciation compréhensible du point de vue d'un conducteur moyen. En dernière analyse, la faute légère représente souvent un comportement qui, sans être totalement excusable, bénéficie des circonstances atténuantes, voire relève d'une certaine malchance (cf. Mizel, op. cit., p. 387; cf. Bussy/Rusconi/Jeanneret/Kuhn/Mizel/Müller, Code suisse de la circulation routière commenté, 4 e édition 2015, no 1.4 ad art. 16a LCR ). Il y a également lieu de rappeler que si les faits retenus dans la procédure pénale lient en principe les autorités administratives, il en va différemment des questions de droit, en particulier de l'appréciation de la faute et de la mise en danger (parmi d’autres arrêts TF 1C_558/2020 du 25 novembre 2021 consid. 3.2 et les arrêts cités; 1C_474 du 19 avril 2021 consid. 3.2). b) En l'occurrence, comme cela a été exposé au considérant précédent, il n'y a pas de motif de s'écarter des faits retenus par l'autorité pénale, à savoir que le recourant a heurté avec sa voiture une personne conduisant une trottinette électrique au moment où il la dépassait, à faible vitesse - cette dernière n'ayant pas besoin d'être précisément établie. Le recourant, en omettant de prêter toute l'attention requise par les circonstances lors de son dépassement, a bien commis une faute. L'appréciation de l'autorité intimée, selon laquelle cette faute peut être qualifiée de légère, n'est pas critiquable. S'agissant de la mise en danger créée par la manœuvre du recourant, elle doit à tout le moins être qualifiée de moyennement grave. De par son inattention, l'intéressé a, même si cela s'est produit alors qu'il conduisait à une faible vitesse, mis en danger la sécurité d'autrui, comme en témoigne la collision survenue qui a provoqué la chute de la conductrice de la trottinette. Il est à cet égard notoire que le fait de percuter un véhicule représente un risque élevé de blessures pour les personnes impliquées. La conductrice de la trottinette a d'ailleurs été emmenée en ambulance à l'hôpital et a eu un arrêt de travail pour trois jours. L'autorité intimée n'a donc pas violé le droit fédéral en considérant que les éléments constitutifs d'une infraction moyennement grave au sens de l' art. 16b al. 1 let. a LCR étaient réunies, ce qui justifiait le retrait du permis de conduire pour une durée minimale d'un mois en application de l' art. 16b al. 2 let. a LCR . Il n'est pas nécessaire d'examiner la pertinence du besoin professionnel du permis de conduire pour l'intéressé ni de tenir compte de son absence d'antécédents, puisqu'il n'est de toute façon pas possible de réduire la durée de la mesure prononcée par l'autorité intimée à son encontre (art. 16 al. 3 LCR; CR.2022.0023 du 27 janvier 2023 consid. 6b; CR.2020.0046 du</w:t>
      </w:r>
    </w:p>
    <w:p>
      <w:r>
        <w:rPr>
          <w:b/>
        </w:rPr>
        <w:t>E. 7</w:t>
      </w:r>
    </w:p>
    <w:p>
      <w:r>
        <w:t>janvier 2021). 4. Il découle des considérants qui précèdent que le recours, mal fondé, doit être rejeté et la décision attaquée confirmée. Le recourant, qui succombe, supportera les frais de la cause (art. 49, 91 et 99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