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CR.2023.0008 vom 8. August 2023</w:t>
      </w:r>
    </w:p>
    <w:p>
      <w:r>
        <w:t>VD Tribunal cantonal, 2023-08-08, FR</w:t>
      </w:r>
    </w:p>
    <w:p>
      <w:r>
        <w:rPr>
          <w:b/>
        </w:rPr>
        <w:t xml:space="preserve">Quelle: </w:t>
      </w:r>
      <w:r>
        <w:t>https://mcp.opencaselaw.ch/entscheid/vd_omni_CR.2023.0008</w:t>
      </w:r>
    </w:p>
    <w:p>
      <w:r>
        <w:t>FR: VD_OMNI CR.2023.0008 du 8 août 2023</w:t>
      </w:r>
    </w:p>
    <w:p>
      <w:r>
        <w:t>IT: VD_OMNI CR.2023.0008 del 8 agosto 2023</w:t>
      </w:r>
    </w:p>
    <w:p>
      <w:pPr>
        <w:pStyle w:val="Heading2"/>
      </w:pPr>
      <w:r>
        <w:t>Regeste</w:t>
      </w:r>
    </w:p>
    <w:p>
      <w:r>
        <w:t>A.________/Service des automobiles et de la navigation | Excès de vitesse de 44 km/h sur un tronçon autoroutier limité à 80 km/h en raison de travaux. Au vu de son ampleur et au regard de la jurisprudence, un tel excès constitue objectivement une infraction grave au sens de l'art. 16c al. 1 let. a LCR. Les circonstances invoquées par le recourant, en particulier le fait qu'il avait activé le pilotage automatique de son véhicule, ne permettent pas considérer le cas comme de moindre gravité. Retrait de 3 mois, correspondant au minimum légal, confirmé.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de sorte qu'il y a lieu d'entrer en matière sur le fond.</w:t>
      </w:r>
    </w:p>
    <w:p>
      <w:r>
        <w:rPr>
          <w:b/>
        </w:rPr>
        <w:t>E. 2</w:t>
      </w:r>
    </w:p>
    <w:p>
      <w:r>
        <w:t>Le recours est dirigé contre la décision sur réclamation du SAN du 26 janvier 2023, confirmant le retrait du permis de conduire du recourant pour une durée de trois mois. Le litige porte uniquement sur la question de savoir si cette décision est bien fondée on non. Les griefs du recourant visant l'ordonnance pénale du Ministère public de l'arrondissement de la Côte du 15 août 2022 et le prononcé du Tribunal d'arrondissement de la Côte du 13 septembre 2022 sortent de ce cadre et sont partant irrecevables.</w:t>
      </w:r>
    </w:p>
    <w:p>
      <w:r>
        <w:rPr>
          <w:b/>
        </w:rPr>
        <w:t>E. 3</w:t>
      </w:r>
    </w:p>
    <w:p>
      <w:r>
        <w:t>a) La loi fédérale sur la circulation routière distingue les infractions légères, moyennement graves et graves. Selon l'art. 16a al. 1 let. a LCR, commet une infraction légère la personne qui, en violant les règles de la circulation, met légèrement en danger la sécurité d'autrui alors que seule une faute bénigne peut lui être imputée. Commet en revanche une infraction grave selon l'art. 16c al. 1 let. a LCR la personne qui, en violant gravement les règles de la circulation, met sérieusement en danger la sécurité d'autrui ou en prend le risque. Entre ces deux extrêmes, se trouve l'infraction moyennement grave, soit celle que commet la personne qui, en violant les règles de la circulation, crée un danger pour la sécurité d'autrui ou en prend le risque (art. 16b al. 1 let. a LCR). Le législateur conçoit cette dernière disposition comme l'élément dit de regroupement: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ég. TF 1C_436/2019 du 30 septembre 2019 consid. 2.1). b) Il y a création d'un danger sérieux pour la sécurité d'autrui au sens de l'art. 16c al. 1 let. a LCR non seulement en cas de mise en danger concrète, mais déjà en cas de mise en danger abstraite accrue; la réalisation d'un tel danger s'examine en fonction des circonstances spécifiques du cas d'espèce ( ATF 143 IV 508 consid. 1.3; 142 IV 93 consid. 3.1; TF 1C_592/2018 du 27 juin 2019 consid. 3.1). Sur le plan subjectif, l'art. 16c al. 1 let. a LCR, dont la portée est identique à celle de l'art. 90 ch. 2 LCR, exige un comportement sans scrupules ou gravement contraire aux règles de la circulation, c'est-à-dire une faute grave et, en cas d'acte commis par négligence, à tout le moins une négligence grossière ( ATF 142 IV 93 consid. 3.1; 131 IV 133 consid. 3.2; ég. TF 1C_442/2017 du 26 avril 2018 consid. 2.1). Cette condition est réalisée si l'auteur est conscient du danger que représente sa manière de conduire ou si, contrairement à ses devoirs, il ne tient absolument pas compte du fait qu'il met en danger les autres usagers, c'est-à-dire s'il agit avec une négligence inconsciente. Dans un tel cas, il faut toutefois faire preuve de retenue. Une négligence grossière ne peut être admise que si l'absence de prise de conscience du danger créé pour autrui est particulièrement blâmable ou repose elle-même sur une absence de scrupules ( ATF 131 IV 133 consid. 3.2). Plus la violation de la règle de la circulation est objectivement grave, plus on admettra l'existence d'une absence de scrupules, sauf indice particulier permettant de retenir le contraire ( ATF 142 IV 93 consid. 3.1). c) Dans le domaine des excès de vitesse, la jurisprudence a été amenée à fixer des règles précises afin d'assurer l'égalité de traitement entre conducteurs. Ainsi, le cas est objectivement – et en principe subjectivement également –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143 IV 508 consid. 1.3; 132 II 234 consid. 3.2; 124 II 259 consid. 2b ). Il est de moyenne gravité lorsque le dépassement de la vitesse autorisée est, respectivement, de 21 à 24 km/h, de 26 à 29 km/h et de 31 à 34 km/h (ATF 128 II 131 consid. 2a; 126 II 196 consid. 2a). Il est enfin de peu de gravité lorsque le dépassement de la vitesse autorisée est, respectivement, de 16 à 20 km/h, de 21 à 25 km/h et de 26 à 30 km/h (ATF 123 II 106; 124 II 97; 124 II 259; ég. TF 1C_597/2017 du 20 juin 2018 consid. 3). Le Tribunal fédéral a rappelé que ces seuils n'avaient pas été arrêtés à la légère mais reposaient sur les considérations d'un collège d'experts mandatés par la Cour de cassation pénale du Tribunal fédéral et qu'il n'y avait pas lieu de remettre en cause dans son principe le système de paliers mis en place par la jurisprudence (TF 1C_83/2008 du 16 octobre 2008 consid. 2.5; ég. arrêt CR.2020.0036 du 28 décembre 2020 consid. 2a/cc). Cette jurisprudence ne dispense toutefois pas l'autorité de tout examen des circonstances du cas concret. Elle doit en particulier rechercher si des circonstances particulières ne justifient pas de considérer néanmoins le cas comme plus grave ou, inversement, comme de moindre gravité, cette dernière hypothèse pouvant notamment être réalisée lorsque le conducteur avait des motifs sérieux de penser qu'il ne se trouvait pas encore ou plus dans la zone de limitation de vitesse (ATF 126 II 196 consid. 2a; 124 II 97 consid. 2c; 123 II 37 consid. 1f; ég. TF 1C_588/2020 du 25 novembre 2021 consid. 4.1.1) . Elle pourra également renoncer au retrait du permis de conduire en présence de circonstances analogues à celle qui justifient de renoncer à une peine en application de l' art. 54 CP (atteinte subie par l'auteur de son acte) ou encore des art. 17 ss CP, en particulier l'état de nécessité (TF 1C_125/2016 du 25 octobre 2016 consid. 3.1; TF 1C_83/2008 du</w:t>
      </w:r>
    </w:p>
    <w:p>
      <w:r>
        <w:rPr>
          <w:b/>
        </w:rPr>
        <w:t>E. 6</w:t>
      </w:r>
    </w:p>
    <w:p>
      <w:r>
        <w:t>octobre 2008 consid. 2.1 et les références citées). 4. a) En l'espèce, le recourant reconnaît avoir commis un excès de vitesse de 44 km/h sur un tronçon autoroutier limité à 80 km/h en raison de travaux. Il critique en revanche la qualification retenue par l'autorité intimée, niant avoir mis sérieusement en danger la sécurité d'autrui, ce qui exclut l'application du cas grave. Il souligne à cet égard qu'il n'y avait pas de trafic au moment des faits, que le trajet était rectiligne, le chantier n'impliquant qu'un léger rétrécissement de la voie de droite, sans chicane ou croisement à deux voies, et qu'il n'y avait aucun employé en train de travailler. Il précise par ailleurs qu'il avait activé le pilotage automatique de son véhicule, qui garantit "une ligne absolument constante entre les lignes de marquage et le freinage automatique dès qu'un obstacle se trouve à une distance d'au moins 100 m". b) En application de la jurisprudence précitée, l'excès de vitesse commis, vu son ampleur, constitue objectivement une infraction grave au sens de l'art. 16c al. 1 let. a LCR. Les circonstances invoquées par le recourant ne sont par ailleurs pas de celles qui permettraient exceptionnellement de considérer le cas comme de moindre gravité. L'intéressé ne prétend en particulier pas qu'il avait des motifs sérieux de penser que la vitesse maximale autorisée était toujours de 120 km/h. Il a reconnu au contraire qu'il avait remarqué qu'il était entré dans une zone travaux, mais qu'il s'était fié aux indications du pilotage automatique de son véhicule, qui n'avait toutefois pas détecté le changement de limitation de vitesse. Il ne se trouve pas non plus dans une des hypothèses visées par les art. 54 CP et 17 ss CP. Il est en outre sans pertinence que les conditions de la circulation (absence de trafic, trajet rectiligne, absence de chicane etc.) aient été favorables, puisque les limites fixées par la jurisprudence ont précisément été déterminées en partant de cette hypothèse (ATF 124 II 475 consid. 2b; ég. arrêt CR.2019.0035 du 7 janvier 2020 consid. 2b). Le fait qu'il avait activé le pilotage automatique de son véhicule ne constitue pas davantage une circonstance permettant de retenir une mise en danger et une faute moindres. Si les systèmes d'aide à la conduite contribuent incontestablement à l'amélioration de la sécurité, ils ne sont néanmoins pas infaillibles comme l'expérience l'a montrée et ne sauraient quoi qu'il en soit exempter le conducteur ni de ses obligations ni de ses responsabilités. Il convient encore de rappeler qu'il y a création d'un danger sérieux pour la sécurité d'autrui au sens de l'art. 16c al. 1 let. a LCR non seulement en cas de mise en danger concrète, mais déjà en cas de mise en danger abstraite accrue (cf. supra consid. 3b). C'est dès lors sans violer le droit, ni abuser de son pouvoir d'appréciation que l'autorité intimée a qualifié l'excès de vitesse litigieux d'infraction grave au sens de l'art. 16c al. 1 let. a LCR. c) Après une infraction grave, le permis de conduire est retiré pour trois mois au minimum (cf. art. 16c al. 2 let. a LCR), seuil en-dessous duquel il est impossible d'aller même en cas nécessité professionnelle de conduire un véhicule automobile (cf. art. 16 al. 3 LCR). S'en tenant à cette durée minimale, la décision attaquée ne peut qu'être confirmée. 5. Les considérants qui précèdent conduisent au rejet du recours et à la confirmation de la décision attaquée. Le recourant, qui succombe, supportera les frais de justice (art. 49 al. 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