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CR.2023.0006 vom 11. März 2024</w:t>
      </w:r>
    </w:p>
    <w:p>
      <w:r>
        <w:t>VD Tribunal cantonal, 2024-03-11, FR</w:t>
      </w:r>
    </w:p>
    <w:p>
      <w:r>
        <w:rPr>
          <w:b/>
        </w:rPr>
        <w:t xml:space="preserve">Quelle: </w:t>
      </w:r>
      <w:r>
        <w:t>https://mcp.opencaselaw.ch/entscheid/vd_omni_CR.2023.0006</w:t>
      </w:r>
    </w:p>
    <w:p>
      <w:r>
        <w:t>FR: VD_OMNI CR.2023.0006 du 11 mars 2024</w:t>
      </w:r>
    </w:p>
    <w:p>
      <w:r>
        <w:t>IT: VD_OMNI CR.2023.0006 del 11 marzo 2024</w:t>
      </w:r>
    </w:p>
    <w:p>
      <w:pPr>
        <w:pStyle w:val="Heading2"/>
      </w:pPr>
      <w:r>
        <w:t>Regeste</w:t>
      </w:r>
    </w:p>
    <w:p>
      <w:r>
        <w:t>A.________/Service des automobiles et de la navigation | Retrait du permis de conduire pour une durée de trois mois pour faute grave en raison d'une distance insuffisante entre véhicules. Etablissement des faits. La distance entre les véhicules et la vitesse du recourant ont été évalués par l'autorité intimée sans élément probant au dossier. L'ordonnance pénale ne se prononce pas non plus sur ces faits. Il convient dès lors de se baser sur les premières déclarations du recourant. La faute est qualifiée de moyennement grave (vitesse de 90 km/h à une distance de 20 m). Réforme de la décision attaquée en ce sens que le permis de conduire du recourant est retiré pour une durée d'un mois. Par arrêt du 11 mars 2024 (1C_482/2023), le Tribunal fédéral a rejeté le recours déposé contre l'arrêt cantonal.</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Le recourant invoque une constatation inexacte des faits pertinents qui aurait conduit l’autorité intimée à retenir à tort qu’il circulait à une distance insuffisante du véhicule qui le précédait. 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1C_91/2021 du 27 juillet 2021 consid. 2.1; 1C_474/2020 du 19 avril 2021 consid. 2.1; 1C_654/2019 du 6 octobre 2020 consid. 2.1, confirmant l'arrêt CDAP CR.2019.0020 du 12 novembre 2019; 1C_403/2020 du 20 juillet 2020 consid. 3). Si les faits retenus au pénal lient en principe l'autorité et le juge administratifs, il en va en revanche différemment des questions de droit, en particulier de l'appréciation de la faute ainsi que de la mise en danger (parmi d’autres arrêts TF 1C_558/2020 du 25 novembre 2021 consid. 3.2 et les arrêts cités; 1C_202/2018 du 18 septembre 2018 consid. 2.2; 1C_512/2017 du 28 février 2018 consid. 3.4; 1C_146/2015 du 7 septembre 2015 consid. 2.1). b) La règle fondamentale de l'art. 26 de la loi fédérale du 19 décembre 1958 sur la circulation routière (LCR; RS 741.01) dispose que chacun doit se comporter, dans la circulation, de manière à ne pas gêner ni mettre en danger ceux qui utilisent la route conformément aux règles établies. L'art. 32 al. 1 1 ère phr. LCR prévoit que la vitesse doit toujours être adaptée aux circonstances, notamment aux particularités du véhicule et du chargement, ainsi qu’aux conditions de la route, de la circulation et de la visibilité. Le conducteur ne doit pas circuler à une vitesse qui l’empêcherait de s’arrêter sur la distance à laquelle porte sa visibilité; lorsque le croisement est malaisé, il doit pouvoir s’arrêter sur la moitié de cette distance (art. 4 OCR). Par ailleurs, d’après l'art. 34 al. 4 LCR, le conducteur observera une distance suffisante envers tous les usagers de la route, notamment pour croiser, dépasser et circuler de front ou lorsque des véhicules se suivent. Cette disposition est complétée par l'art. 12 al. 1 OCR, selon lequel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 demi-compteur " (correspondant à un intervalle de 1.8 secondes) sont des standards minimaux habituellement reconnus (ATF 131 IV 133 consid. 3.1; 104 IV 192 consid. 2b; arrêts TF 1C_474/2020 du 19 avril 2021 consid. 3.1; 1C_590/2015 du 10 août 2016 consid. 3.2; 1C_544/2013 du 17 septembre 2013 consid. 2.2). Pour que soit réalisée l'infraction de la distance insuffisante (talonnement), le conducteur fautif doit avoir talonné le véhicule le précédent sur une distance suffisamment longue, de plusieurs centaines de mètres au moins. De manière générale, selon la jurisprudence fédérale et cantonale, une distance de 500 mètres paraît nécessaire, sous réserve de cas très particuliers (cf. les arrêts mentionnés ci-après consid. 5a; un cas particulier concernant une situation dans laquelle les faits incriminés avaient été constatés sur une distance de 84.6 mètres, au moyen toutefois d’un appareil de surveillance du trafic, CR.2021.0011 du 5 octobre 2021 let. B des faits et consid. 4b). Le non-respect d'une distance de sécurité suffisante sur une certaine distance a pour but d'exclure la simple inattention momentanée du conducteur et de démonter qu'il a délibérément enfreint une règle élémentaire de prudence qui doit s'imposer à tout automobiliste.</w:t>
      </w:r>
    </w:p>
    <w:p>
      <w:r>
        <w:rPr>
          <w:b/>
        </w:rPr>
        <w:t>E. 3</w:t>
      </w:r>
    </w:p>
    <w:p>
      <w:r>
        <w:t>a) En l’espèce, le recourant soutient qu’on ne saurait lui reprocher de ne pas s’être opposé à l’ordonnance pénale. En effet, le jour de l'infraction, il n'aurait pas obtenu d'autres indications que celle d'un des agents de police lui indiquant qu'il recevrait prochainement une amende, au motif qu'il n'avait pas respecté une distance de sécurité suffisante avec le véhicule qu'il avait rattrapé et suivi quelques instants plus tôt. Il avait ensuite été dénoncé pour avoir circulé à une vitesse (compteur) variant de 100 à 110 km/h sur une zone autoroutière limitée à 80 km/h, mais n'avait finalement été condamné qu'à une simple contravention, pour vitesse inadaptée aux circonstances ainsi qu'aux conditions de la route, de la circulation, de la visibilité et pour distance insuffisante en suivant un véhicule, avec mise en danger. Il en déduit que le juge pénal n'a retenu aucun dépassement de la vitesse autorisée et n'a pas établi la prétendue distance insuffisante dont il se serait rendu coupable, pas plus qu'il n'a établi sur quelle distance le talonnement se serait réalisé. Le recourant indique que, vu la légèreté des faits "abstraits" et non établis retenus à son encontre, il a, sur conseil de son précédent conseil, procédé au paiement de la simple contravention prononcée. On ne peut toutefois aucunement en déduire qu'il a admis les faits figurant dans la dénonciation de la police. b) aa) En l’occurrence, par ordonnance pénale du 17 février 2022, le recourant a été condamné à une contravention au sens de l'art. 90 LCR, soit pour violation simple des règles de la circulation routière. Il n’a pas fait opposition à cette ordonnance, qui est entrée en force, et qui lui impute d'avoir eu une (1) " vitesse inadaptée aux circonstances ainsi qu'aux conditions de la route, de la circulation, de la visibilité " et (2) une " distance insuffisante en suivant un véhicule, avec mise en danger ". Le fait que le recourant ne s’attendait pas au prononcé d’une mesure aussi lourde qu’un retrait de son permis de conduire n’est pas déterminant, dans la mesure où, selon la jurisprudence, il suffit de savoir ou de devoir prévoir, en raison de la gravité des faits, qu’il y aura une procédure de retrait du permis de conduire (cf. par exemple récemment arrêt CDAP.2022.0027 du 9 janvier 2023 consid. 1c). Or il apparaît en l'espèce que le recourant aurait pu prévoir qu'une distance insuffisante en suivant un véhicule était une faute de nature à entraîner l'ouverture d'une procédure de retrait de permis. Il appartenait en conséquence au recourant, s’il contestait le non-respect de la distance de sécurité avec le véhicule qui précédait, retenue par l'autorité pénale, de faire valoir ses moyens déjà dans le cadre de la procédure pénale, fût-elle sommaire. On ne saurait dans ces circonstances reprocher à l'autorité intimée d’avoir considéré qu’elle était liée par l’ordonnance pénale pour ce qui concernait la distance insuffisante et d'avoir retenu sur cette base que le recourant n’avait pas respecté la distance de sécurité. Force est néanmoins à cet égard de constater que l'ordonnance pénale se limite à mentionner les normes violées, sans contenir d'état de fait, et sans nullement préciser les détails de l'infraction. Il sera revenu sur ces éléments ci-après. bb) Pour ce qui concerne la question de l'excès de vitesse, à savoir le reproche fait au recourant d'avoir circulé à 100-110 km/h, alors que la vitesse était limitée temporairement à 80 km/h, il faut constater que l'ordonnance du 17 février 2022 ne contient aucun état de fait et est muette à ce sujet. Dans certaines affaires, la CDAP a retenu que même si l'ordonnance ne comportait pratiquement aucun état de fait et ne précisait ainsi pas à quelle vitesse ni à quelle distance du véhicule le précédant le recourant circulait, il n'y avait aucune raison de penser que le juge pénal s'est écarté des constatations de fait retenues dans le rapport de police et qu'il faut se baser là-dessus (cf. par exemple CR.2012.0071 du 15 mars 2013 consid. 1b). La situation est différente en l'espèce, dès lors que l'ordonnance pénale n'a pas retenu l'infraction d'excès de vitesse. Il n'est dès lors pas possible de considérer que le juge pénal a retenu que le recourant circulait à 100-110 km/h. De plus, il convient de relever que les mesures figurant dans le rapport de police n'auraient de toute manière pas pu être reprises telles quelles. En effet, l' OOCCR-OFROU précise notamment, en matière de contrôle de vitesse et de surveillance de la circulation aux feux rouges, les marges de sécurité (art. 8) applicables en fonction des différents types de mesures utilisés (mesure par radar mobile ou immobile, par laser, par véhicule-suiveur, etc.). Ainsi, l'art. 8 al. 1 let. i OOCCR-OFROU prévoit, en cas de mesures de vitesse effectuées au moyen d'un véhicule-suiveur sans système calibré (ce qui semble être le cas en l'occurrence), une marge de sécurité de 15 km/h pour une valeur mesurée inférieure ou égale à 100 km/h (ch. 1), de 15% pour une valeur mesurée à partir de 101 km/h (ch. 2) ou une marge fixée par l'Institut fédéral de métrologie dans des cas particuliers (ch. 3). Le recourant ajoute à cet égard, en se référant à des directives de la Police cantonale vaudoise, que cette déduction ne doit intervenir qu'après avoir été étalonnée (expertise du compteur du véhicule à l'aide d'un GPS en général) étalonnage qui intervient en général dès le lendemain de la prétendue infraction et qui manque au dossier. Si l'on se fonde sur le rapport de police, qui retient une vitesse de 100-110 km/h, soit de 105 km/h, et qu'on en déduisait 15% (soit 15,75), on arriverait ainsi au plus à une vitesse de 89,25 km/qui correspondrait sensiblement aux indications du recourant. Dans son recours, le recourant estime que l'autorité intimée ne pouvait ainsi pas considérer comme établi qu'il roulait à une vitesse supérieure à 80 km/h. Il soutient que sa vitesse s'approchait plutôt de 65-70 km/h. Le Tribunal relève toutefois que, dans son opposition du 25 octobre 2022, le recourant a admis qu'il roulait à 90 km/h et qu'il a même mis l'accent sur cette vitesse. Aucun élément ne justifie de s'écarter de ces premières déclarations. En effet, selon une jurisprudence bien établie, l'expérience démontre que les premières déclarations des parties sont plus proches de la vérité que celles faites ultérieurement dans le cadre d'une procédure contentieuse, dont l'issue pourrait mettre en péril des intérêts importants, ce dont les intéressés ont entre-temps pris conscience (CDAP CR.2022.0015 du 14 octobre 2022 consid. 4 et les références citées; cf. aussi pour la jurisprudence des premières déclarations ATF 121 V 47 consid. 2a).</w:t>
      </w:r>
    </w:p>
    <w:p>
      <w:r>
        <w:rPr>
          <w:b/>
        </w:rPr>
        <w:t>E. 4</w:t>
      </w:r>
    </w:p>
    <w:p>
      <w:r>
        <w:t>a) L'art. 98 LPA-VD, dont il résulte que le recourant peut notamment invoquer la constatation inexacte ou incomplète des faits pertinents (let. b), confère au Tribunal cantonal saisi d'un recours de droit administratif un plein pouvoir d'examen en la matière (cf. arrêt TF 1C_266/2015 du 20 juin 2016 consid. 3.1.2). L'autorité établit les faits d'office (art. 28 al. 1 LPA-VD).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arrêt TF 2C_104/2016 du 28 novembre 2016 consid. 5.2; CDAP GE.2021.0017 du 29 septembre 2021 consid. 3a). Il n'existe pas pour le reste de règles sur la valeur probante des divers moyens, que l'autorité apprécie librement (cf. Pierre Moor / Etienne Poltier, Droit administratif, Vol. II, 3 e éd., Berne 2011, ch. 2.2.6.4 p. 298). Lorsque les preuves font défaut, ou si l'on ne peut raisonnablement exiger de l'autorité qu'elle les recueille, la règle de L'art. 8 CC est applicable par analogie (cf. ATF 137 II 313 consid. 3.5.2; CDAP GE.2020.0232 du 9 juin 2021 consid. 3b). Le défaut de preuve va ainsi au détriment de la partie qui entendait tirer un droit du fait non prouvé, ou paralysera l'action administrative dont le fait non prouvé était la condition (cf. Moor/Poltier, op. cit., ch. 2.2.6.4 p. 299 s., relevant que l'on peut également considérer, comme fondement spécifique en droit public, que l'effet juridique que la loi attache à un état de fait ne peut se produire si la preuve n'en est pas apportée, et voir dans la répartition du fardeau de la preuve un cas d'application du principe de la légalité). b) En l'occurrence, la distance insuffisante a été évaluée par l'autorité intimée à 5 mètres, voire 10 mètres maximum. Or cette distance ne ressort pas du dossier; elle n'a pas été chiffrée par le juge pénal, ni par la police. Le rapport de police retient en effet uniquement que le recourant aurait circulé à une distance qui n'aurait pas permis à un véhicule de même gabarit de s'insérer entre les deux. Force est de constater qu'il s'agit d'une notion indéterminée, qui ne peut pas être fixée sans autre explication comme l'autorité intimée l'a fait à 5 mètres, voire 10 mètres. En outre, la décision entreprise retient que le talonnement aurait eu lieu sur une distance de 300 mètres environ, se fondant sur le rapport de police, mais sans que cela ait été repris ou documenté par le juge pénal. Le recourant relève que cette distance est inférieure d'au moins 200 mètres aux minima et standards imposés par la jurisprudence du Tribunal fédéral et de la CDAP. Il ajoute que le dossier ne contient pas d'information au sujet des appareils de mesures utilisés par la police genevoise. Il n'est ainsi pas établi que la distance "de calcul" retenue serait valable pour constater une infraction. Les arguments du recourant sont fondés. Certes, le Tribunal a eu l'occasion, s'agissant d'une évaluation qui émanait de policiers dûment formés et habitués à exercer le contrôle de la circulation, de considérer qu'il n'avait aucune raison de s'écarter des chiffres constatés par la police cantonale (cf. CR.2017.0045 du 30 janvier 2018 consid. 2a, CR.2012.0071 du 15 mars 2013 consid. 1b). Il s'agissait toutefois de situations dans lesquelles le recourant n'apportait aucun élément propre à remettre en cause de tels chiffres et dans lesquelles les gendarmes concernés avaient été entendus par la préfète en qualité de dénonciateurs et avaient expliqué leur méthode de calcul (cf. CR.2017.0045 précité lettre F. des faits; pour l'affaire CR.2012.0071, il était question d'une appréciation sur environ 1'000 mètres). Les circonstances du cas présent sont différentes. La question pourrait ainsi se poser de savoir s'il convient d'annuler purement et simplement la décision attaquée au motif qu'elle se fonde sur des mesures, partant des constatations qui ne sont pas conformes aux exigences légales. Il n'y a toutefois pas lieu de statuer dans ce sens dès lors que le recourant lui-même donne des indications sur les faits déterminants. En effet, dans son opposition, le recourant a indiqué qu'il évaluait la distance le séparant du véhicule précédent à 20 mètres. Dans son recours, il estime que c'est une distance hypothétique entre 15 et 20 mètres qui devrait être retenue. Comme on l'a relevé ci-avant (consid. 3b/bb), il y a lieu de s'en tenir en principe aux premières déclarations des parties. En effet, selon une jurisprudence bien établie, l'expérience démontre que les premières déclarations des parties sont plus proches de la vérité que celles faites ultérieurement dans le cadre d'une procédure contentieuse. Sur cette base, le Tribunal a retenu la vitesse de 90 km/h, qui n'est pas à l'avantage du recourant, celui-ci ayant par la suite argumenté en faveur d'une vitesse de 60-70 km/h (cf. consid. 3b/bb ci-avant). Sur la base de ces mêmes premières déclarations, et compte tenu des mesures insuffisantes de l'autorité intimée, il y a lieu de retenir la distance de 20 m, articulée en premier lieu par le recourant dans son opposition du 25 octobre 2022.</w:t>
      </w:r>
    </w:p>
    <w:p>
      <w:r>
        <w:rPr>
          <w:b/>
        </w:rPr>
        <w:t>E. 5</w:t>
      </w:r>
    </w:p>
    <w:p>
      <w:r>
        <w:t>Le recourant conteste la qualification grave retenue pour l'infraction commise, qu’il estime disproportionnée, et requiert sa requalification en violation légère des règles de la circulation, ne justifiant qu'un avertissement. a) La loi sur la circulation routière fait la distinction entre les cas de peu de gravité, les cas de gravité moyenne et les cas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de la mise en danger du trafic induite et de la faute (cf. Cédric Mizel, Les nouvelles dispositions légales sur le retrait du permis de conduire, in RDAF 2004 I 361, p.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Il y a création d'un danger sérieux pour la sécurité d'autrui au sens de l'art. 16c al. 1 let. a LCR non seulement en cas de mise en danger concrète , mais déjà en cas de mise en danger abstraite accrue ; la réalisation d'un tel danger s'examine en fonction des circonstances spécifiques du cas d'espèce (ATF 143 IV 508 consid. 1.3; 142 IV 93 consid. 3.1; 131 IV 133 consid. 3.2; arrêt TF 1C_436/2019 du 30 septembre 2019 consid. 2.1).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TF 6B_23/2016 du 9 décembre 2016 consid. 3.2; 6B_117/2015 du 11 février 2016 consid. 13.2; arrêts CDAP CR.2022.0015 du 14 octobre 2022 consid. 3c; CR.2019.0034 du 25 février 2020 consid. 2b/cc). Quant à la mise en danger concrète, elle est retenue lorsque survient une collision entre deux véhicules, sous réserve des chocs à très faible vitesse, par exemple lors de manœuvres sur un parking (arrêt TF 6B_117/2015 précité consid. 13.2), qui d'expérience n'occasionnent que des dommages matériels. Les collisions, même à relativement basse vitesse, engendrent en effet presque toujours un risque de blessures pour les tiers concernés (arrêts CDAP CR.2022.0015 précité consid. 3c; CR.2019.0034 précité consid. 2b/bb; CR.2016.0023 du 21 novembre 2016 consid. 2a; cf. Mizel, op. cit., p. 370). Sur le plan subjectif, une faute moyennement grave au sens de l'art. 16b al. 1 let. a LCR correspond, lorsqu'aucune circonstance particulière n'exige une prudence très élevée (arrêts TF 1C_135/2022 du 24 août 2022 consid. 2.1; 1C_525/2012 du 24 octobre 2013 consid. 2.4), à une absence de prise en considération des risques d'accident, alors que ceux-ci étaient reconnaissables pour un conducteur moyen normalement prudent ( ATF 126 II 192 consid. 2b) et vouant toute son attention à la chaussée au sens de l'art. 3 al. 1 OCR (arrêt TF 1C_135/2022 précité consid. 2.1; cf. Bussy / Rusconi / Jeanneret / Kuhn / Mizel / Müller, Code suisse de la circulation routière commenté - CS CR, 4 e éd, Bâle 2015, n° 1.4 ad art. 16b LCR ). Quant à la faute légère, elle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(cf. Mizel, op. cit., p. 387; cf. Bussy/Rusconi/Jeanneret/Kuhn/Mizel/Müller, op. cit., n° 1.4 ad art. 16a LCR ).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TF 1C_356/2009 du 12 février 2010; 1C_7/2010 du 11 mai 2010; 1C_274/210 du 7 octobre 2010), lorsqu’il a suivi la voiture précédente sur 1'200 mètres à une vitesse de 110 km/h et à une distance oscillant entre 5 et 10 mètres (0.32 seconde [TF 1C_502/2011 du 6 mars 2012]), lorsqu'il a circulé à une vitesse de 125 km/h, à nouveau sur 1'200 mètres, à une distance de 15 mètres du véhicule qui le précédait (0.4 seconde [TF 1C_446/2011 du 15 mars 2012]) ou encore lorsqu’il a suivi le véhicule qui le précédait sur plus de 400 mètres, sur la voie de gauche, à une vitesse d'environ 100 km/h en n'observant qu'une distance d'environ 10 mètres, soit un intervalle correspondant à 0.36 seconde (TF 1C_474/2020 du 19 avril 2021 consid. 3.2). En revanche, la faute a été qualifiée de moyennement grave au sens de l'art. 16b LCR lorsqu'un conducteur a suivi, à une vitesse de 100 km/h, une voiture à une distance entre 20 et 25 mètres (0.9 seconde [TF 1C_424/2012 du 15 janvier 2013]) et lorsque l'écart entre les véhicules était de 26 mètres pour une vitesse de 124 km/h (0.8 seconde [TF 1C_183/2013 du 21 juin 2013]). Le Tribunal de céans a considéré que le fait de suivre à une allure d'au moins 90 km/h un véhicule sur l'autoroute à une distance comprise entre 3 à 10 m, sur une distance de 800 m, devait être qualifié d'infraction grave (CR.2018.0056 du 13 mars 2019). Il en va de même lorsqu'un véhicule suit sur l'autoroute sur environ 500 mètres le véhicule qui le précédait à une distance de quelque 10 mètres et à une vitesse d'environ 120 km/h (intervalle de 0,3 seconde, CR.2017.0045 du 30 janvier 2018). Une distance de 10 mètres à 100 km/h, sur la voie de gauche de l’autoroute sur une distance d’environ 400 mètres constitue une violation grave des règles de la circulation routière (CR.2017.0014 du 14 juillet 2017). Commet en revanche une infraction moyennement grave l'automobiliste qui circule quelque 18 mètres derrière le véhicule qui le précède sur l'autoroute à une vitesse de 110 km/h. (soit un intervalle de 0.6 seconde, CR.2021.0011 du 5 octobre 2021). Commet une infraction à tout le moins moyennement grave l'automobiliste qui circule environ 10 mètres derrière le véhicule qui le précède à une vitesse de 120 km/h sur environ 500 mètres (soit un intervalle de 0.28 seconde, CR.2017.0029 du 7 novembre 2017, confirmé par TF 1C_707//2017 du 18 janvier 2018, le Tribunal se demandant même dans cette affaire s'il n'aurait pas fallu qualifier le cas de grave). b) Dans le cas présent, si l'on retient, comme exposé ci-dessus, que le recourant a laissé 20 mètres d’espace entre son véhicule et celui qui le précédait en roulant à 90 km/h (ou 25 m/s), il en découle que 20 mètres sont parcourus en 0.8 seconde. Dans ces circonstances, il convient de retenir que la faute du recourant est une faute moyennement grave au sens défini par la jurisprudence.</w:t>
      </w:r>
    </w:p>
    <w:p>
      <w:r>
        <w:rPr>
          <w:b/>
        </w:rPr>
        <w:t>E. 6</w:t>
      </w:r>
    </w:p>
    <w:p>
      <w:r>
        <w:t>Il convient de déterminer la quotité de la sanction à prononcer compte tenu de ce qui précède. Selon l'art. 16 al. 3 LCR, la durée du retrait de permis de conduire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En l'occurrence, dès lors que l'infraction doit être qualifiée de moyennement grave et non de grave, le recourant tombe sous le coup de l'art. 16b al. 2 let. a LCR qui prévoit un retrait du permis de conduire d'une durée minimale d'un mois. Le recourant ne figure pas au fichier ADMAS et n'a donc pas d'antécédent qu'il faille prendre en considération. Rien ne justifie dès lors de s'écarter de la quotité prévue à l'art. 16a al. 2 let. a LCR.</w:t>
      </w:r>
    </w:p>
    <w:p>
      <w:r>
        <w:rPr>
          <w:b/>
        </w:rPr>
        <w:t>E. 7</w:t>
      </w:r>
    </w:p>
    <w:p>
      <w:r>
        <w:t>Il résulte de ce qui précède que le recours doit être admis et la décision attaquée réformée en ce sens que le permis de conduire du recourant est retiré pour une durée d'un mois. La date limite fixée par la décision attaquée pour l’exécution du retrait de permis étant aujourd’hui échue, il appartiendra au SAN de fixer une nouvelle date d’exécution. Vu le sort de la cause, il n'y a pas lieu de percevoir d'émolument judiciaire, l'avance de frais effectuée devant être restituée au recourant (art. 49 et 52 LPA-VD). Assisté par un mandataire professionnel, le recourant a droit à une indemnité à titre de dépens à la charge de l'Etat (art. 55 LPA-VD), réduite dès lors qu'il n'obtient pas l'entier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