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CR.2022.0026 vom 18. Januar 2023</w:t>
      </w:r>
    </w:p>
    <w:p>
      <w:r>
        <w:t>VD Tribunal cantonal, 2023-01-18, FR</w:t>
      </w:r>
    </w:p>
    <w:p>
      <w:r>
        <w:rPr>
          <w:b/>
        </w:rPr>
        <w:t xml:space="preserve">Quelle: </w:t>
      </w:r>
      <w:r>
        <w:t>https://mcp.opencaselaw.ch/entscheid/vd_omni_CR.2022.0026</w:t>
      </w:r>
    </w:p>
    <w:p>
      <w:r>
        <w:t>FR: VD_OMNI CR.2022.0026 du 18 janvier 2023</w:t>
      </w:r>
    </w:p>
    <w:p>
      <w:r>
        <w:t>IT: VD_OMNI CR.2022.0026 del 18 gennaio 2023</w:t>
      </w:r>
    </w:p>
    <w:p>
      <w:pPr>
        <w:pStyle w:val="Heading2"/>
      </w:pPr>
      <w:r>
        <w:t>Regeste</w:t>
      </w:r>
    </w:p>
    <w:p>
      <w:r>
        <w:t>A.________/Service des automobiles et de la navigation | Recours contre un retrait du permis de conduire: le recourant a consulté son téléphone portable afin de voir s'il avait reçu une notification, ne remarquant pas que le véhicule qui le précédait avait ralenti, ce qui a causé un accident. La double condition de la gravité de la faute et de la mise en danger étant réalisée, c'est à bon droit que l'autorité intimée a qualifié de grave l'infraction commise.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Le recourant conteste la qualification de l'infraction retenue et, implicitement, la sanction prononcée à son égard, faisant valoir que son comportement (soit la consultation de son téléphone portable afin de voir s'il a reçu une notification) doit être considéré comme constitutif d'une infraction moyennement grave. a) aa) Aux termes de l'art. 31 al. 1 de la loi fédérale du 19 décembre 1958 sur la circulation routière (LCR; RS 741.01), le conducteur devra rester constamment maître de son véhicule de façon à pouvoir se conformer aux devoirs de la prudence. Cette disposition est complétée par l'art. 3 al. 1 de l'ordonnance du 13 novembre 1962 sur les règles de la circulation routière (OCR; RS 741.11),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bb) La LCR distingue les infractions légères, moyennement graves et graves (art. 16a à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 TF 6A.16/2006 du 6 avril 2006 consid. 2.1.1). L'infraction grave au sens de l'art. 16c al.1 let. a LCR est ainsi subordonnée à la double gravité de la faute commise et de la mise en danger objective (cf. ATF 135 II 138 consid. 2.2.3; arrêts TF 1C_436/2019 du 30 septembre 2019 consid. 2.1; 1C_525/2012 du 24 octobre 2013 consid. 2.1). cc) Selon la jurisprudence, la violation grave d'une règle de circulation suppose d'un point de vue objectif que l'auteur a mis sérieusement en danger la sécurité du trafic. Il y a création d'un danger sérieux pour la sécurité d'autrui non seulement en cas de mise en danger concrète, mais déjà en cas de mise en danger abstraite accrue (ATF 143 IV 508 consid. 1.3 142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TF 6B_117/2015 du 11 février 2016 consid. 13.2). Quant à la mise en danger concrète, elle est retenue lorsque survient une collision entre deux véhicules, sous réserve des chocs à très faible vitesse, par exemple lors de manœuvres sur un parking, qui d'expérience n'occasionnent que des dommages matériels (cf. arrêts TF 6B_117/2015 précité consid. 13.2; ég. CDAP CR.2021.0029 du 22 février 20222 consid. 3b).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ég. arrêts TF 6B_441/2015 du 3 février 2016 consid. 2.2.1, 6B_290/2015 du 23 novembre 2015 consid. 2.2.1 et les références). A été considéré comme grave le fait, pour un conducteur, d'avoir été distrait en regardant son téléphone portable, ce qui l'a fait dévier sur la voie opposée (arrêt TF 1C_266/2022 du 26 septembre 2022), de manipuler le GPS (arrêt CR.2017.0042 du 8 janvier 2018), de changer un CD (arrêt CR.2009.0061 du 12 mars 2010), de se baisser pour ramasser un téléphone portable tombé à ses pieds (TF 1C_299/2007 du 11 janvier 2008; arrêt CR.2007.0103 du 20 août 2007; arrêt CR.2015.0002 du 24 mars 2015), de porter le regard sur l'autoradio (arrêt CR.2009.0043 du 30 septembre 2009), de chercher un CD dans la boîte à gants (arrêt CR.2007.0134 du 4 août 2008), de manipuler l'autoradio et de régler la climatisation (arrêt CR.2006.0483 du 17 avril 2007), d'allumer une cigarette (arrêt CR.2011.0077 du 30 mars 2012), lorsque ces activités ont conduit à ce que l'attention du conducteur soit détournée de la route. b) En l'occurrence, le recourant a consulté son téléphone portable afin de voir s'il avait reçu une notification, ne remarquant pas que le véhicule qui le précédait avait ralenti, ce qui a conduit à un accident. Ces faits sont constitutifs d'une mise en danger concrète, dès lors qu'il y a eu collision: on dépasse en effet largement le cadre de la simple "touchette"; le véhicule du recourant a d'ailleurs dû être dépanné par la société C.________. La mise en danger concrète est partant établie. S'agissant de la faute, on ne saurait reprocher à l'autorité intimée de l'avoir qualifiée de grave au regard des circonstances du cas. Le recourant roulait sur une avenue notoirement fréquentée, en pente descendante dans le sens de la circulation, ce qui requerrait une attention soutenue de sa part. Il a ainsi pris le risque de consulter son téléphone portable afin de voir s'il avait reçu une notification. Contrairement à ce que soutient le recourant, son inattention ne peut être qualifiée de " très (très) courte durée ". Si tel avait été le cas, on ne conçoit pas qu'il n'ait pas remarqué qu'il se rapprochait dangereusement du véhicule de B.________ qui le précédait. Cette appréciation est confortée par les éléments dont se prévaut le recourant, savoir que le " temps " était " beau ", la " route sèche ", le " tracé rectiligne " et la " visibilité étendue ". De telles circonstances auraient dû permettre, si son inattention avait été fugace, d'éviter la collision. Il faut donc retenir que, en agissant comme il l'a fait, le recourant n'a pas montré suffisamment d'égards pour les autres usagers de la route et sa faute doit être qualifiée de grave. La double condition de la gravité de la faute et de la mise en danger étant réalisée, c'est à juste titre que l'autorité intimée a qualifié l'infraction commise de grave au sens de l'art. 16c al. 1 let. a LCR. Après une infraction grave, le permis de conduire est retiré pour trois mois au minimum (cf. art. 16c al. 2 let. a LCR), seuil en-dessous duquel il est impossible d'aller même en cas de nécessité professionnelle de conduire un véhicule automobile (cf. art. 16 al. 3 LCR). S'en tenant à cette durée minimale, la décision attaquée ne peut qu'être confirmée.</w:t>
      </w:r>
    </w:p>
    <w:p>
      <w:r>
        <w:rPr>
          <w:b/>
        </w:rPr>
        <w:t>E. 3</w:t>
      </w:r>
    </w:p>
    <w:p>
      <w:r>
        <w:t>Le considérant qui précède conduit au rejet du recours et à la confirmation de la décision attaquée. Le recourant, qui succombe, supportera un émolument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